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line="312" w:lineRule="auto"/>
        <w:ind/>
        <w:jc w:val="both"/>
        <w:rPr>
          <w:rFonts w:ascii="Verdana" w:hAnsi="Verdana" w:cs="Arial"/>
          <w:b/>
          <w:sz w:val="20"/>
          <w:szCs w:val="20"/>
        </w:rPr>
      </w:pPr>
      <w:r>
        <w:rPr>
          <w:rFonts w:ascii="Verdana" w:hAnsi="Verdana"/>
          <w:b/>
          <w:sz w:val="20"/>
        </w:rPr>
        <w:t xml:space="preserve">Zusatzfragebogen betreffend Interessenkonflikte von externen Mitgliedern der Verwaltung </w:t>
      </w:r>
      <w:r>
        <w:rPr>
          <w:rFonts w:ascii="Verdana" w:hAnsi="Verdana"/>
          <w:sz w:val="20"/>
        </w:rPr>
        <w:t xml:space="preserve">(Angaben per Stichtag 31.12.20</w:t>
      </w:r>
      <w:r>
        <w:rPr>
          <w:rFonts w:ascii="Verdana" w:hAnsi="Verdana"/>
          <w:sz w:val="20"/>
        </w:rPr>
        <w:t xml:space="preserve">16</w:t>
      </w:r>
      <w:r>
        <w:rPr>
          <w:rFonts w:ascii="Verdana" w:hAnsi="Verdana"/>
          <w:sz w:val="20"/>
        </w:rPr>
        <w:t xml:space="preserve">)</w:t>
      </w:r>
      <w:r>
        <w:rPr>
          <w:rFonts w:ascii="Verdana" w:hAnsi="Verdana" w:cs="Arial"/>
          <w:b/>
          <w:sz w:val="20"/>
          <w:szCs w:val="20"/>
        </w:rPr>
      </w:r>
    </w:p>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p>
      <w:pPr>
        <w:pBdr/>
        <w:spacing w:line="312" w:lineRule="auto"/>
        <w:ind/>
        <w:jc w:val="both"/>
        <w:rPr>
          <w:rFonts w:ascii="Verdana" w:hAnsi="Verdana" w:cs="Arial"/>
          <w:sz w:val="20"/>
          <w:szCs w:val="20"/>
        </w:rPr>
      </w:pPr>
      <w:r>
        <w:rPr>
          <w:rFonts w:ascii="Verdana" w:hAnsi="Verdana"/>
          <w:sz w:val="20"/>
        </w:rPr>
        <w:t xml:space="preserve">Zusätzlich zu den im Swiss GAAP FER-Fragebogen aufgeführten Mandaten sind dem Präsidenten der Verwaltung folgende Mandate zu kommunizieren:</w:t>
      </w:r>
      <w:r>
        <w:rPr>
          <w:rFonts w:ascii="Verdana" w:hAnsi="Verdana" w:cs="Arial"/>
          <w:sz w:val="20"/>
          <w:szCs w:val="20"/>
        </w:rPr>
      </w:r>
    </w:p>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p>
      <w:pPr>
        <w:widowControl w:val="true"/>
        <w:numPr>
          <w:ilvl w:val="0"/>
          <w:numId w:val="20"/>
        </w:numPr>
        <w:pBdr/>
        <w:spacing w:line="312" w:lineRule="auto"/>
        <w:ind/>
        <w:jc w:val="both"/>
        <w:rPr>
          <w:rFonts w:ascii="Verdana" w:hAnsi="Verdana" w:cs="Arial"/>
          <w:sz w:val="20"/>
          <w:szCs w:val="20"/>
        </w:rPr>
      </w:pPr>
      <w:r>
        <w:rPr>
          <w:rFonts w:ascii="Verdana" w:hAnsi="Verdana"/>
          <w:sz w:val="20"/>
        </w:rPr>
        <w:t xml:space="preserve">Tätigkeiten, welche zu Konflikten führen können, insb. eine wirtschaftliche Tätigkeit, aber allenfalls auch eine andere, z.B. Ausübung einer amtlichen oder ehrenamtlichen Funktion oder eines politischen Amtes.</w:t>
      </w:r>
      <w:r>
        <w:rPr>
          <w:rFonts w:ascii="Verdana" w:hAnsi="Verdana" w:cs="Arial"/>
          <w:sz w:val="20"/>
          <w:szCs w:val="20"/>
        </w:rPr>
      </w:r>
    </w:p>
    <w:p>
      <w:pPr>
        <w:widowControl w:val="true"/>
        <w:numPr>
          <w:ilvl w:val="0"/>
          <w:numId w:val="20"/>
        </w:numPr>
        <w:pBdr/>
        <w:spacing w:line="312" w:lineRule="auto"/>
        <w:ind/>
        <w:jc w:val="both"/>
        <w:rPr>
          <w:rFonts w:ascii="Verdana" w:hAnsi="Verdana" w:cs="Arial"/>
          <w:sz w:val="20"/>
          <w:szCs w:val="20"/>
        </w:rPr>
      </w:pPr>
      <w:r>
        <w:rPr>
          <w:rStyle w:val="801"/>
          <w:rFonts w:ascii="Verdana" w:hAnsi="Verdana"/>
          <w:sz w:val="20"/>
        </w:rPr>
        <w:t xml:space="preserve">Stellung als Or</w:t>
      </w:r>
      <w:r>
        <w:rPr>
          <w:rStyle w:val="801"/>
          <w:rFonts w:ascii="Verdana" w:hAnsi="Verdana"/>
          <w:sz w:val="20"/>
        </w:rPr>
        <w:t xml:space="preserve">gan, Mitarbeiter oder ständiger Berater eines Drittunternehmens, das eine Tätigkeit ausübt, die zu Konflikten führen kann, oder wesentliche Beteiligungen an einem solchen Unternehmen im Sinne von Ziff. 1.2.2 des Reglements betreffend Interessenkonflikte IK</w:t>
      </w:r>
      <w:r>
        <w:rPr>
          <w:rFonts w:ascii="Verdana" w:hAnsi="Verdana"/>
          <w:sz w:val="20"/>
        </w:rPr>
        <w:t xml:space="preserve"> Anhang C1.</w:t>
      </w:r>
      <w:r>
        <w:rPr>
          <w:rFonts w:ascii="Verdana" w:hAnsi="Verdana" w:cs="Arial"/>
          <w:sz w:val="20"/>
          <w:szCs w:val="20"/>
        </w:rPr>
      </w:r>
    </w:p>
    <w:p>
      <w:pPr>
        <w:widowControl w:val="true"/>
        <w:numPr>
          <w:ilvl w:val="0"/>
          <w:numId w:val="20"/>
        </w:numPr>
        <w:pBdr/>
        <w:spacing w:line="312" w:lineRule="auto"/>
        <w:ind/>
        <w:jc w:val="both"/>
        <w:rPr>
          <w:rFonts w:ascii="Verdana" w:hAnsi="Verdana" w:cs="Arial"/>
          <w:sz w:val="20"/>
          <w:szCs w:val="20"/>
        </w:rPr>
      </w:pPr>
      <w:r>
        <w:rPr>
          <w:rStyle w:val="801"/>
          <w:rFonts w:ascii="Verdana" w:hAnsi="Verdana"/>
          <w:sz w:val="20"/>
        </w:rPr>
        <w:t xml:space="preserve">Beteiligung von nahe stehenden Personen im Sinne von Ziff. 1.2.3 des Reglements IK an eine</w:t>
      </w:r>
      <w:r>
        <w:rPr>
          <w:rStyle w:val="801"/>
          <w:rFonts w:ascii="Verdana" w:hAnsi="Verdana"/>
          <w:sz w:val="20"/>
        </w:rPr>
        <w:t xml:space="preserve">m solchen Drittunternehmen oder Organfunktion, Mitarbeite</w:t>
      </w:r>
      <w:r>
        <w:rPr>
          <w:rStyle w:val="801"/>
          <w:rFonts w:ascii="Verdana" w:hAnsi="Verdana"/>
          <w:sz w:val="20"/>
        </w:rPr>
        <w:t xml:space="preserve">r oder ständiger Berater. Als nahe stehend gelten insbesondere Lebenspartner</w:t>
      </w:r>
      <w:r>
        <w:rPr>
          <w:rStyle w:val="801"/>
          <w:rFonts w:ascii="Verdana" w:hAnsi="Verdana"/>
          <w:sz w:val="20"/>
        </w:rPr>
        <w:t xml:space="preserve">innen und Lebenspartner</w:t>
      </w:r>
      <w:r>
        <w:rPr>
          <w:rStyle w:val="801"/>
          <w:rFonts w:ascii="Verdana" w:hAnsi="Verdana"/>
          <w:sz w:val="20"/>
        </w:rPr>
        <w:t xml:space="preserve">, Nachkommen und Personen, die im gleichen Haushalt leben. </w:t>
      </w:r>
      <w:r>
        <w:rPr>
          <w:rFonts w:ascii="Verdana" w:hAnsi="Verdana" w:cs="Arial"/>
          <w:sz w:val="20"/>
          <w:szCs w:val="20"/>
        </w:rPr>
      </w:r>
    </w:p>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303"/>
        <w:gridCol w:w="2303"/>
        <w:gridCol w:w="2303"/>
        <w:gridCol w:w="2303"/>
      </w:tblGrid>
      <w:tr>
        <w:trPr/>
        <w:tc>
          <w:tcPr>
            <w:tcBorders/>
            <w:tcW w:w="2303" w:type="dxa"/>
            <w:textDirection w:val="lrTb"/>
            <w:noWrap w:val="false"/>
          </w:tcPr>
          <w:p>
            <w:pPr>
              <w:pBdr/>
              <w:spacing/>
              <w:ind/>
              <w:jc w:val="both"/>
              <w:rPr>
                <w:rFonts w:ascii="Verdana" w:hAnsi="Verdana" w:cs="Arial"/>
                <w:sz w:val="20"/>
                <w:szCs w:val="20"/>
              </w:rPr>
            </w:pPr>
            <w:r>
              <w:rPr>
                <w:rFonts w:ascii="Verdana" w:hAnsi="Verdana"/>
                <w:sz w:val="20"/>
              </w:rPr>
              <w:t xml:space="preserve">Name, Vorname</w:t>
            </w:r>
            <w:r>
              <w:rPr>
                <w:rFonts w:ascii="Verdana" w:hAnsi="Verdana" w:cs="Arial"/>
                <w:sz w:val="20"/>
                <w:szCs w:val="20"/>
              </w:rPr>
            </w:r>
          </w:p>
        </w:tc>
        <w:tc>
          <w:tcPr>
            <w:tcBorders/>
            <w:tcW w:w="2303" w:type="dxa"/>
            <w:textDirection w:val="lrTb"/>
            <w:noWrap w:val="false"/>
          </w:tcPr>
          <w:p>
            <w:pPr>
              <w:pBdr/>
              <w:spacing/>
              <w:ind/>
              <w:jc w:val="both"/>
              <w:rPr>
                <w:rFonts w:ascii="Verdana" w:hAnsi="Verdana" w:cs="Arial"/>
                <w:sz w:val="20"/>
                <w:szCs w:val="20"/>
              </w:rPr>
            </w:pPr>
            <w:r>
              <w:rPr>
                <w:rFonts w:ascii="Verdana" w:hAnsi="Verdana"/>
                <w:sz w:val="20"/>
              </w:rPr>
              <w:t xml:space="preserve">Art Beziehung </w:t>
            </w:r>
            <w:r>
              <w:rPr>
                <w:rFonts w:ascii="Verdana" w:hAnsi="Verdana" w:cs="Arial"/>
                <w:sz w:val="20"/>
                <w:szCs w:val="20"/>
              </w:rPr>
            </w:r>
          </w:p>
          <w:p>
            <w:pPr>
              <w:pBdr/>
              <w:spacing/>
              <w:ind/>
              <w:jc w:val="both"/>
              <w:rPr>
                <w:rFonts w:ascii="Verdana" w:hAnsi="Verdana" w:cs="Arial"/>
                <w:sz w:val="20"/>
                <w:szCs w:val="20"/>
              </w:rPr>
            </w:pPr>
            <w:r>
              <w:rPr>
                <w:rFonts w:ascii="Verdana" w:hAnsi="Verdana"/>
                <w:sz w:val="20"/>
              </w:rPr>
              <w:t xml:space="preserve">(bei nahe stehenden Personen) </w:t>
            </w:r>
            <w:r>
              <w:rPr>
                <w:rFonts w:ascii="Verdana" w:hAnsi="Verdana" w:cs="Arial"/>
                <w:sz w:val="20"/>
                <w:szCs w:val="20"/>
              </w:rPr>
            </w:r>
          </w:p>
        </w:tc>
        <w:tc>
          <w:tcPr>
            <w:tcBorders/>
            <w:tcW w:w="2303" w:type="dxa"/>
            <w:textDirection w:val="lrTb"/>
            <w:noWrap w:val="false"/>
          </w:tcPr>
          <w:p>
            <w:pPr>
              <w:pBdr/>
              <w:spacing/>
              <w:ind/>
              <w:jc w:val="both"/>
              <w:rPr>
                <w:rFonts w:ascii="Verdana" w:hAnsi="Verdana" w:cs="Arial"/>
                <w:sz w:val="20"/>
                <w:szCs w:val="20"/>
              </w:rPr>
            </w:pPr>
            <w:r>
              <w:rPr>
                <w:rFonts w:ascii="Verdana" w:hAnsi="Verdana"/>
                <w:sz w:val="20"/>
              </w:rPr>
              <w:t xml:space="preserve">Art des Mandates</w:t>
            </w:r>
            <w:r>
              <w:rPr>
                <w:rFonts w:ascii="Verdana" w:hAnsi="Verdana" w:cs="Arial"/>
                <w:sz w:val="20"/>
                <w:szCs w:val="20"/>
              </w:rPr>
            </w:r>
          </w:p>
        </w:tc>
        <w:tc>
          <w:tcPr>
            <w:tcBorders/>
            <w:tcW w:w="2303" w:type="dxa"/>
            <w:textDirection w:val="lrTb"/>
            <w:noWrap w:val="false"/>
          </w:tcPr>
          <w:p>
            <w:pPr>
              <w:pBdr/>
              <w:spacing/>
              <w:ind/>
              <w:rPr>
                <w:rFonts w:ascii="Verdana" w:hAnsi="Verdana" w:cs="Arial"/>
                <w:sz w:val="20"/>
                <w:szCs w:val="20"/>
              </w:rPr>
            </w:pPr>
            <w:r>
              <w:rPr>
                <w:rFonts w:ascii="Verdana" w:hAnsi="Verdana"/>
                <w:sz w:val="20"/>
              </w:rPr>
              <w:t xml:space="preserve">Potentieller Interessenkonflikt</w:t>
            </w:r>
            <w:r>
              <w:rPr>
                <w:rFonts w:ascii="Verdana" w:hAnsi="Verdana" w:cs="Arial"/>
                <w:sz w:val="20"/>
                <w:szCs w:val="20"/>
              </w:rPr>
            </w:r>
          </w:p>
        </w:tc>
      </w:tr>
      <w:tr>
        <w:trPr/>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r>
      <w:tr>
        <w:trPr/>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bookmarkStart w:id="0" w:name="_GoBack"/>
            <w:r/>
            <w:bookmarkEnd w:id="0"/>
            <w:r/>
            <w:r>
              <w:rPr>
                <w:rFonts w:ascii="Verdana" w:hAnsi="Verdana" w:cs="Arial"/>
                <w:sz w:val="20"/>
                <w:szCs w:val="20"/>
              </w:rPr>
            </w:r>
          </w:p>
        </w:tc>
      </w:tr>
      <w:tr>
        <w:trPr/>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r>
      <w:tr>
        <w:trPr/>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r>
      <w:tr>
        <w:trPr/>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r>
      <w:tr>
        <w:trPr/>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r>
      <w:tr>
        <w:trPr/>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2303"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r>
    </w:tbl>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p>
      <w:pPr>
        <w:pBdr/>
        <w:spacing w:line="312" w:lineRule="auto"/>
        <w:ind/>
        <w:jc w:val="both"/>
        <w:rPr>
          <w:rFonts w:ascii="Verdana" w:hAnsi="Verdana" w:cs="Arial"/>
          <w:sz w:val="20"/>
          <w:szCs w:val="20"/>
        </w:rPr>
      </w:pPr>
      <w:r>
        <w:rPr>
          <w:rFonts w:ascii="Verdana" w:hAnsi="Verdana"/>
          <w:sz w:val="20"/>
        </w:rPr>
        <w:t xml:space="preserve">Diese Informationen werden vertraulich behandelt.</w:t>
      </w:r>
      <w:r>
        <w:rPr>
          <w:rFonts w:ascii="Verdana" w:hAnsi="Verdana"/>
          <w:color w:val="000000"/>
          <w:sz w:val="20"/>
        </w:rPr>
        <w:t xml:space="preserve"> </w:t>
      </w:r>
      <w:r>
        <w:rPr>
          <w:rFonts w:ascii="Verdana" w:hAnsi="Verdana"/>
          <w:sz w:val="20"/>
        </w:rPr>
        <w:t xml:space="preserve">Die Mitglieder der Verwaltung werden jährlich aufgefordert, die oben stehenden Angaben und deren Vollständigkeit zu bestätigen.</w:t>
      </w:r>
      <w:r>
        <w:rPr>
          <w:rFonts w:ascii="Verdana" w:hAnsi="Verdana" w:cs="Arial"/>
          <w:sz w:val="20"/>
          <w:szCs w:val="20"/>
        </w:rPr>
      </w:r>
    </w:p>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p>
      <w:pPr>
        <w:pBdr/>
        <w:spacing w:line="312" w:lineRule="auto"/>
        <w:ind/>
        <w:jc w:val="both"/>
        <w:rPr>
          <w:rFonts w:ascii="Verdana" w:hAnsi="Verdana" w:cs="Arial"/>
          <w:sz w:val="20"/>
          <w:szCs w:val="20"/>
        </w:rPr>
      </w:pPr>
      <w:r>
        <w:rPr>
          <w:rFonts w:ascii="Verdana" w:hAnsi="Verdana"/>
          <w:sz w:val="20"/>
        </w:rPr>
        <w:t xml:space="preserve">Unabhängig davon, ob eine präventive Meldung gemäss oben stehenden Angaben erstattet worden ist, </w:t>
      </w:r>
      <w:r>
        <w:rPr>
          <w:rStyle w:val="801"/>
          <w:rFonts w:ascii="Verdana" w:hAnsi="Verdana"/>
          <w:sz w:val="20"/>
        </w:rPr>
        <w:t xml:space="preserve">melden externe Mitglieder der Verwaltung unverzüglich</w:t>
      </w:r>
      <w:r>
        <w:rPr>
          <w:rFonts w:ascii="Verdana" w:hAnsi="Verdana"/>
          <w:sz w:val="20"/>
        </w:rPr>
        <w:t xml:space="preserve"> jede neu entstehende Konfliktsituation</w:t>
      </w:r>
      <w:r>
        <w:rPr>
          <w:rStyle w:val="801"/>
          <w:rFonts w:ascii="Verdana" w:hAnsi="Verdana"/>
          <w:sz w:val="20"/>
        </w:rPr>
        <w:t xml:space="preserve"> (z.B. durch Aufnahme einer ko</w:t>
      </w:r>
      <w:r>
        <w:rPr>
          <w:rStyle w:val="801"/>
          <w:rFonts w:ascii="Verdana" w:hAnsi="Verdana"/>
          <w:sz w:val="20"/>
        </w:rPr>
        <w:t xml:space="preserve">nkurrenzierenden Tätigkeit durch ein Drittunternehmen, durch Zukäufe von Unternehmen oder durch die Aufnahme von Verhandlungen oder Geschäftsbeziehungen durch ein solches Drittunternehmen mit einer Rechtseinheit der Gruppe) dem Präsidenten der Verwaltung. </w:t>
      </w:r>
      <w:r>
        <w:rPr>
          <w:rFonts w:ascii="Verdana" w:hAnsi="Verdana" w:cs="Arial"/>
          <w:sz w:val="20"/>
          <w:szCs w:val="20"/>
        </w:rPr>
      </w:r>
    </w:p>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p>
      <w:pPr>
        <w:widowControl w:val="true"/>
        <w:pBdr/>
        <w:spacing/>
        <w:ind/>
        <w:rPr>
          <w:rFonts w:ascii="Verdana" w:hAnsi="Verdana"/>
          <w:b/>
          <w:sz w:val="20"/>
        </w:rPr>
      </w:pPr>
      <w:r>
        <w:rPr>
          <w:rFonts w:ascii="Verdana" w:hAnsi="Verdana"/>
          <w:b/>
          <w:sz w:val="20"/>
        </w:rPr>
        <w:br w:type="page" w:clear="all"/>
      </w:r>
      <w:r>
        <w:rPr>
          <w:rFonts w:ascii="Verdana" w:hAnsi="Verdana"/>
          <w:b/>
          <w:sz w:val="20"/>
        </w:rPr>
      </w:r>
    </w:p>
    <w:p>
      <w:pPr>
        <w:pBdr/>
        <w:spacing w:line="312" w:lineRule="auto"/>
        <w:ind/>
        <w:jc w:val="both"/>
        <w:rPr>
          <w:rFonts w:ascii="Verdana" w:hAnsi="Verdana" w:cs="Arial"/>
          <w:b/>
          <w:strike/>
          <w:color w:val="00b050"/>
          <w:sz w:val="20"/>
          <w:szCs w:val="20"/>
        </w:rPr>
      </w:pPr>
      <w:r>
        <w:rPr>
          <w:rFonts w:ascii="Verdana" w:hAnsi="Verdana"/>
          <w:b/>
          <w:sz w:val="20"/>
        </w:rPr>
        <w:t xml:space="preserve">Angaben zur Veröffentlichung </w:t>
      </w:r>
      <w:r>
        <w:rPr>
          <w:rFonts w:ascii="Verdana" w:hAnsi="Verdana" w:cs="Arial"/>
          <w:b/>
          <w:strike/>
          <w:color w:val="00b050"/>
          <w:sz w:val="20"/>
          <w:szCs w:val="20"/>
        </w:rPr>
      </w:r>
    </w:p>
    <w:p>
      <w:pPr>
        <w:pBdr/>
        <w:spacing w:line="312" w:lineRule="auto"/>
        <w:ind/>
        <w:rPr>
          <w:rFonts w:ascii="Verdana" w:hAnsi="Verdana" w:cs="Arial"/>
          <w:sz w:val="20"/>
          <w:szCs w:val="20"/>
          <w:lang w:val="fr-CH"/>
        </w:rPr>
      </w:pPr>
      <w:r>
        <w:rPr>
          <w:rFonts w:ascii="Verdana" w:hAnsi="Verdana"/>
          <w:sz w:val="20"/>
        </w:rPr>
        <w:t xml:space="preserve">(gemäss Vorgaben des Swiss Code of Best Practice for Corporate Governance:, vgl. </w:t>
      </w:r>
      <w:hyperlink r:id="rId16" w:tooltip="http://www.economiesuisse.ch/sites/default/files/publications/economiesuisse_swisscode_d_web.pdf" w:history="1">
        <w:r>
          <w:rPr>
            <w:rStyle w:val="820"/>
            <w:rFonts w:ascii="Verdana" w:hAnsi="Verdana"/>
            <w:sz w:val="20"/>
          </w:rPr>
          <w:t xml:space="preserve">http://www.economiesuisse.ch/sites/default/files/publications/economiesuisse_swisscode_d_web.pdf</w:t>
        </w:r>
      </w:hyperlink>
      <w:r>
        <w:rPr>
          <w:rFonts w:ascii="Verdana" w:hAnsi="Verdana"/>
          <w:sz w:val="20"/>
        </w:rPr>
        <w:t xml:space="preserve">, </w:t>
      </w:r>
      <w:r>
        <w:rPr>
          <w:rFonts w:ascii="Verdana" w:hAnsi="Verdana"/>
          <w:sz w:val="20"/>
        </w:rPr>
        <w:t xml:space="preserve">sowie der Richtlinie betr. </w:t>
      </w:r>
      <w:r>
        <w:rPr>
          <w:rFonts w:ascii="Verdana" w:hAnsi="Verdana"/>
          <w:sz w:val="20"/>
          <w:lang w:val="fr-CH"/>
        </w:rPr>
        <w:t xml:space="preserve">Informationen zur Corporate Governance der SIX Exchange Regulation, vgl. </w:t>
      </w:r>
      <w:hyperlink r:id="rId17" w:tooltip="https://www.six-exchange-regulation.com/dam/downloads/regulation/admission-manual/directives/06_16-DCG_de.pdf" w:history="1">
        <w:r>
          <w:rPr>
            <w:rStyle w:val="820"/>
            <w:rFonts w:ascii="Verdana" w:hAnsi="Verdana"/>
            <w:sz w:val="20"/>
            <w:lang w:val="fr-CH"/>
          </w:rPr>
          <w:t xml:space="preserve">https://www.six-exchange-regulation.com/dam/downloads/regulation/admission-manual/directives/06_16-DCG_de.pdf</w:t>
        </w:r>
      </w:hyperlink>
      <w:r>
        <w:rPr>
          <w:rFonts w:ascii="Verdana" w:hAnsi="Verdana"/>
          <w:sz w:val="20"/>
          <w:lang w:val="fr-CH"/>
        </w:rPr>
        <w:t xml:space="preserve">)</w:t>
      </w:r>
      <w:r>
        <w:rPr>
          <w:rFonts w:ascii="Verdana" w:hAnsi="Verdana" w:cs="Arial"/>
          <w:sz w:val="20"/>
          <w:szCs w:val="20"/>
          <w:lang w:val="fr-CH"/>
        </w:rPr>
      </w:r>
    </w:p>
    <w:p>
      <w:pPr>
        <w:pBdr/>
        <w:spacing w:line="312" w:lineRule="auto"/>
        <w:ind/>
        <w:jc w:val="both"/>
        <w:rPr>
          <w:rFonts w:ascii="Verdana" w:hAnsi="Verdana" w:cs="Arial"/>
          <w:sz w:val="20"/>
          <w:szCs w:val="20"/>
          <w:lang w:val="fr-CH"/>
        </w:rPr>
      </w:pPr>
      <w:r>
        <w:rPr>
          <w:rFonts w:ascii="Verdana" w:hAnsi="Verdana" w:cs="Arial"/>
          <w:sz w:val="20"/>
          <w:szCs w:val="20"/>
          <w:lang w:val="fr-CH"/>
        </w:rPr>
      </w:r>
      <w:r>
        <w:rPr>
          <w:rFonts w:ascii="Verdana" w:hAnsi="Verdana" w:cs="Arial"/>
          <w:sz w:val="20"/>
          <w:szCs w:val="20"/>
          <w:lang w:val="fr-CH"/>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606"/>
        <w:gridCol w:w="4606"/>
      </w:tblGrid>
      <w:tr>
        <w:trPr/>
        <w:tc>
          <w:tcPr>
            <w:gridSpan w:val="2"/>
            <w:shd w:val="pct10" w:color="auto" w:fill="auto"/>
            <w:tcBorders/>
            <w:tcW w:w="9212" w:type="dxa"/>
            <w:textDirection w:val="lrTb"/>
            <w:noWrap w:val="false"/>
          </w:tcPr>
          <w:p>
            <w:pPr>
              <w:pBdr/>
              <w:spacing w:line="312" w:lineRule="auto"/>
              <w:ind/>
              <w:jc w:val="both"/>
              <w:rPr>
                <w:rFonts w:ascii="Verdana" w:hAnsi="Verdana" w:cs="Arial"/>
                <w:sz w:val="20"/>
                <w:szCs w:val="20"/>
              </w:rPr>
            </w:pPr>
            <w:r>
              <w:rPr>
                <w:rFonts w:ascii="Verdana" w:hAnsi="Verdana"/>
                <w:sz w:val="20"/>
              </w:rPr>
              <w:t xml:space="preserve">Allgemeine Angaben pro Mitglied der Verwaltung</w:t>
            </w:r>
            <w:r>
              <w:rPr>
                <w:rFonts w:ascii="Verdana" w:hAnsi="Verdana" w:cs="Arial"/>
                <w:sz w:val="20"/>
                <w:szCs w:val="20"/>
              </w:rPr>
            </w:r>
          </w:p>
        </w:tc>
      </w:tr>
      <w:tr>
        <w:trPr>
          <w:trHeight w:val="2549"/>
        </w:trPr>
        <w:tc>
          <w:tcPr>
            <w:tcBorders/>
            <w:tcW w:w="4606" w:type="dxa"/>
            <w:textDirection w:val="lrTb"/>
            <w:noWrap w:val="false"/>
          </w:tcPr>
          <w:p>
            <w:pPr>
              <w:pBdr/>
              <w:spacing w:line="312" w:lineRule="auto"/>
              <w:ind/>
              <w:rPr>
                <w:rFonts w:ascii="Verdana" w:hAnsi="Verdana" w:cs="Arial"/>
                <w:sz w:val="20"/>
                <w:szCs w:val="20"/>
              </w:rPr>
            </w:pPr>
            <w:r>
              <w:rPr>
                <w:rFonts w:ascii="Verdana" w:hAnsi="Verdana"/>
                <w:sz w:val="20"/>
              </w:rPr>
              <w:t xml:space="preserve">a) Name, Nationalität, Ausbildung und beruflicher Hintergrund;</w:t>
            </w:r>
            <w:r>
              <w:rPr>
                <w:rFonts w:ascii="Verdana" w:hAnsi="Verdana" w:cs="Arial"/>
                <w:sz w:val="20"/>
                <w:szCs w:val="20"/>
              </w:rPr>
            </w:r>
          </w:p>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4606" w:type="dxa"/>
            <w:textDirection w:val="lrTb"/>
            <w:noWrap w:val="false"/>
          </w:tcPr>
          <w:p>
            <w:pPr>
              <w:pBdr/>
              <w:spacing w:before="120"/>
              <w:ind/>
              <w:rPr>
                <w:rFonts w:ascii="Verdana" w:hAnsi="Verdana"/>
                <w:sz w:val="20"/>
                <w:szCs w:val="20"/>
              </w:rPr>
            </w:pPr>
            <w:r>
              <w:rPr>
                <w:rFonts w:ascii="Verdana" w:hAnsi="Verdana"/>
                <w:sz w:val="20"/>
                <w:szCs w:val="20"/>
              </w:rPr>
            </w:r>
            <w:r>
              <w:rPr>
                <w:rFonts w:ascii="Verdana" w:hAnsi="Verdana"/>
                <w:sz w:val="20"/>
                <w:szCs w:val="20"/>
              </w:rPr>
            </w:r>
          </w:p>
        </w:tc>
      </w:tr>
      <w:tr>
        <w:trPr>
          <w:trHeight w:val="2955"/>
        </w:trPr>
        <w:tc>
          <w:tcPr>
            <w:tcBorders/>
            <w:tcW w:w="4606" w:type="dxa"/>
            <w:textDirection w:val="lrTb"/>
            <w:noWrap w:val="false"/>
          </w:tcPr>
          <w:p>
            <w:pPr>
              <w:pBdr/>
              <w:spacing w:line="312" w:lineRule="auto"/>
              <w:ind/>
              <w:rPr>
                <w:rFonts w:ascii="Verdana" w:hAnsi="Verdana" w:cs="Arial"/>
                <w:sz w:val="20"/>
                <w:szCs w:val="20"/>
              </w:rPr>
            </w:pPr>
            <w:r>
              <w:rPr>
                <w:rFonts w:ascii="Verdana" w:hAnsi="Verdana"/>
                <w:sz w:val="20"/>
              </w:rPr>
              <w:t xml:space="preserve">b) operative Führungsaufgaben für die Gesellschaft oder eine Konzerngesellschaft per 31. Dezember des Berichtsjahres; </w:t>
            </w:r>
            <w:r>
              <w:rPr>
                <w:rFonts w:ascii="Verdana" w:hAnsi="Verdana" w:cs="Arial"/>
                <w:sz w:val="20"/>
                <w:szCs w:val="20"/>
              </w:rPr>
            </w:r>
          </w:p>
        </w:tc>
        <w:tc>
          <w:tcPr>
            <w:tcBorders/>
            <w:tcW w:w="4606" w:type="dxa"/>
            <w:textDirection w:val="lrTb"/>
            <w:noWrap w:val="false"/>
          </w:tcPr>
          <w:p>
            <w:pPr>
              <w:pBdr/>
              <w:spacing/>
              <w:ind/>
              <w:rPr>
                <w:rFonts w:ascii="Verdana" w:hAnsi="Verdana" w:cs="Arial"/>
                <w:sz w:val="20"/>
                <w:szCs w:val="20"/>
              </w:rPr>
            </w:pPr>
            <w:r>
              <w:rPr>
                <w:rFonts w:ascii="Verdana" w:hAnsi="Verdana" w:cs="Arial"/>
                <w:sz w:val="20"/>
                <w:szCs w:val="20"/>
              </w:rPr>
            </w:r>
            <w:r>
              <w:rPr>
                <w:rFonts w:ascii="Verdana" w:hAnsi="Verdana" w:cs="Arial"/>
                <w:sz w:val="20"/>
                <w:szCs w:val="20"/>
              </w:rPr>
            </w:r>
          </w:p>
        </w:tc>
      </w:tr>
      <w:tr>
        <w:trPr/>
        <w:tc>
          <w:tcPr>
            <w:tcBorders>
              <w:bottom w:val="single" w:color="auto" w:sz="4" w:space="0"/>
            </w:tcBorders>
            <w:tcW w:w="4606" w:type="dxa"/>
            <w:textDirection w:val="lrTb"/>
            <w:noWrap w:val="false"/>
          </w:tcPr>
          <w:p>
            <w:pPr>
              <w:pBdr/>
              <w:spacing w:line="312" w:lineRule="auto"/>
              <w:ind/>
              <w:rPr>
                <w:rFonts w:ascii="Verdana" w:hAnsi="Verdana" w:cs="Arial"/>
                <w:sz w:val="20"/>
                <w:szCs w:val="20"/>
              </w:rPr>
            </w:pPr>
            <w:r>
              <w:rPr>
                <w:rFonts w:ascii="Verdana" w:hAnsi="Verdana"/>
                <w:sz w:val="20"/>
              </w:rPr>
              <w:t xml:space="preserve">c) pro externes Mitglied der Verwaltung:</w:t>
            </w:r>
            <w:r>
              <w:rPr>
                <w:rFonts w:ascii="Verdana" w:hAnsi="Verdana" w:cs="Arial"/>
                <w:sz w:val="20"/>
                <w:szCs w:val="20"/>
              </w:rPr>
            </w:r>
          </w:p>
          <w:p>
            <w:pPr>
              <w:pBdr/>
              <w:spacing w:line="312" w:lineRule="auto"/>
              <w:ind w:left="708"/>
              <w:rPr>
                <w:rFonts w:ascii="Verdana" w:hAnsi="Verdana" w:cs="Arial"/>
                <w:sz w:val="20"/>
                <w:szCs w:val="20"/>
              </w:rPr>
            </w:pPr>
            <w:r>
              <w:rPr>
                <w:rFonts w:ascii="Verdana" w:hAnsi="Verdana"/>
                <w:sz w:val="20"/>
              </w:rPr>
              <w:t xml:space="preserve">aa) ob es per 31. Dezember des laufenden Geschäftsjahres bzw. des Berichtsjahres der Ge</w:t>
            </w:r>
            <w:r>
              <w:rPr>
                <w:rFonts w:ascii="Verdana" w:hAnsi="Verdana"/>
                <w:sz w:val="20"/>
              </w:rPr>
              <w:t xml:space="preserve">schäftsleitung der Gesellschaft oder</w:t>
            </w:r>
            <w:r>
              <w:rPr>
                <w:rFonts w:ascii="Verdana" w:hAnsi="Verdana"/>
                <w:sz w:val="20"/>
              </w:rPr>
              <w:t xml:space="preserve"> einer Konzerngesellschaft angehört; </w:t>
            </w:r>
            <w:r>
              <w:rPr>
                <w:rFonts w:ascii="Verdana" w:hAnsi="Verdana" w:cs="Arial"/>
                <w:sz w:val="20"/>
                <w:szCs w:val="20"/>
              </w:rPr>
            </w:r>
          </w:p>
          <w:p>
            <w:pPr>
              <w:pBdr/>
              <w:spacing w:line="312" w:lineRule="auto"/>
              <w:ind w:left="708"/>
              <w:rPr>
                <w:rFonts w:ascii="Verdana" w:hAnsi="Verdana" w:cs="Arial"/>
                <w:sz w:val="20"/>
                <w:szCs w:val="20"/>
              </w:rPr>
            </w:pPr>
            <w:r>
              <w:rPr>
                <w:rFonts w:ascii="Verdana" w:hAnsi="Verdana"/>
                <w:sz w:val="20"/>
              </w:rPr>
              <w:t xml:space="preserve">bb) ob es per 31. Dezember des laufenden Geschäftsjahres bzw. des Berichtsjahres mit der Gesellscha</w:t>
            </w:r>
            <w:r>
              <w:rPr>
                <w:rFonts w:ascii="Verdana" w:hAnsi="Verdana"/>
                <w:sz w:val="20"/>
              </w:rPr>
              <w:t xml:space="preserve">ft oder</w:t>
            </w:r>
            <w:r>
              <w:rPr>
                <w:rFonts w:ascii="Verdana" w:hAnsi="Verdana"/>
                <w:sz w:val="20"/>
              </w:rPr>
              <w:t xml:space="preserve"> mit einer Konzerngesellschaft in wesentlichen geschäftlichen Beziehungen steht. </w:t>
            </w:r>
            <w:r>
              <w:rPr>
                <w:rFonts w:ascii="Verdana" w:hAnsi="Verdana" w:cs="Arial"/>
                <w:sz w:val="20"/>
                <w:szCs w:val="20"/>
              </w:rPr>
            </w:r>
          </w:p>
        </w:tc>
        <w:tc>
          <w:tcPr>
            <w:tcBorders>
              <w:bottom w:val="single" w:color="auto" w:sz="4" w:space="0"/>
            </w:tcBorders>
            <w:tcW w:w="4606"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r>
    </w:tbl>
    <w:p>
      <w:pPr>
        <w:pBdr/>
        <w:spacing/>
        <w:ind/>
        <w:rPr>
          <w:rFonts w:ascii="Verdana" w:hAnsi="Verdana"/>
          <w:sz w:val="20"/>
          <w:szCs w:val="20"/>
        </w:rPr>
      </w:pPr>
      <w:r>
        <w:rPr>
          <w:rFonts w:ascii="Verdana" w:hAnsi="Verdana"/>
          <w:sz w:val="20"/>
          <w:szCs w:val="20"/>
        </w:rPr>
      </w:r>
      <w:r>
        <w:rPr>
          <w:rFonts w:ascii="Verdana" w:hAnsi="Verdana"/>
          <w:sz w:val="20"/>
          <w:szCs w:val="20"/>
        </w:rPr>
      </w:r>
    </w:p>
    <w:p>
      <w:pPr>
        <w:pBdr/>
        <w:spacing/>
        <w:ind/>
        <w:rPr>
          <w:rFonts w:ascii="Verdana" w:hAnsi="Verdana"/>
          <w:sz w:val="20"/>
          <w:szCs w:val="20"/>
        </w:rPr>
      </w:pPr>
      <w:r>
        <w:rPr>
          <w:rFonts w:ascii="Verdana" w:hAnsi="Verdana"/>
          <w:sz w:val="20"/>
          <w:szCs w:val="20"/>
        </w:rPr>
      </w:r>
      <w:r>
        <w:rPr>
          <w:rFonts w:ascii="Verdana" w:hAnsi="Verdana"/>
          <w:sz w:val="20"/>
          <w:szCs w:val="20"/>
        </w:rPr>
      </w:r>
    </w:p>
    <w:p>
      <w:pPr>
        <w:pBdr/>
        <w:spacing/>
        <w:ind/>
        <w:rPr>
          <w:rFonts w:ascii="Verdana" w:hAnsi="Verdana"/>
          <w:sz w:val="20"/>
          <w:szCs w:val="20"/>
        </w:rPr>
      </w:pPr>
      <w:r>
        <w:rPr>
          <w:rFonts w:ascii="Verdana" w:hAnsi="Verdana"/>
          <w:sz w:val="20"/>
          <w:szCs w:val="20"/>
        </w:rPr>
      </w:r>
      <w:r>
        <w:rPr>
          <w:rFonts w:ascii="Verdana" w:hAnsi="Verdana"/>
          <w:sz w:val="20"/>
          <w:szCs w:val="20"/>
        </w:rPr>
      </w:r>
    </w:p>
    <w:p>
      <w:pPr>
        <w:pBdr/>
        <w:spacing/>
        <w:ind/>
        <w:rPr>
          <w:rFonts w:ascii="Verdana" w:hAnsi="Verdana"/>
          <w:sz w:val="20"/>
          <w:szCs w:val="20"/>
        </w:rPr>
      </w:pPr>
      <w:r>
        <w:rPr>
          <w:rFonts w:ascii="Verdana" w:hAnsi="Verdana"/>
          <w:sz w:val="20"/>
          <w:szCs w:val="20"/>
        </w:rPr>
      </w:r>
      <w:r>
        <w:rPr>
          <w:rFonts w:ascii="Verdana" w:hAnsi="Verdana"/>
          <w:sz w:val="20"/>
          <w:szCs w:val="20"/>
        </w:rPr>
      </w:r>
    </w:p>
    <w:p>
      <w:pPr>
        <w:pBdr/>
        <w:spacing/>
        <w:ind/>
        <w:rPr>
          <w:rFonts w:ascii="Verdana" w:hAnsi="Verdana"/>
          <w:sz w:val="20"/>
          <w:szCs w:val="20"/>
        </w:rPr>
      </w:pPr>
      <w:r>
        <w:rPr>
          <w:rFonts w:ascii="Verdana" w:hAnsi="Verdana"/>
          <w:sz w:val="20"/>
          <w:szCs w:val="20"/>
        </w:rPr>
      </w:r>
      <w:r>
        <w:rPr>
          <w:rFonts w:ascii="Verdana" w:hAnsi="Verdana"/>
          <w:sz w:val="20"/>
          <w:szCs w:val="20"/>
        </w:rPr>
      </w:r>
    </w:p>
    <w:p>
      <w:pPr>
        <w:pBdr/>
        <w:spacing/>
        <w:ind/>
        <w:rPr>
          <w:rFonts w:ascii="Verdana" w:hAnsi="Verdana"/>
          <w:sz w:val="20"/>
          <w:szCs w:val="20"/>
        </w:rPr>
      </w:pPr>
      <w:r>
        <w:rPr>
          <w:rFonts w:ascii="Verdana" w:hAnsi="Verdana"/>
          <w:sz w:val="20"/>
          <w:szCs w:val="20"/>
        </w:rPr>
      </w:r>
      <w:r>
        <w:rPr>
          <w:rFonts w:ascii="Verdana" w:hAnsi="Verdana"/>
          <w:sz w:val="20"/>
          <w:szCs w:val="20"/>
        </w:rPr>
      </w:r>
    </w:p>
    <w:p>
      <w:pPr>
        <w:pBdr/>
        <w:spacing/>
        <w:ind/>
        <w:rPr>
          <w:rFonts w:ascii="Verdana" w:hAnsi="Verdana"/>
          <w:sz w:val="20"/>
          <w:szCs w:val="20"/>
        </w:rPr>
      </w:pPr>
      <w:r>
        <w:rPr>
          <w:rFonts w:ascii="Verdana" w:hAnsi="Verdana"/>
          <w:sz w:val="20"/>
          <w:szCs w:val="20"/>
        </w:rPr>
      </w:r>
      <w:r>
        <w:rPr>
          <w:rFonts w:ascii="Verdana" w:hAnsi="Verdana"/>
          <w:sz w:val="20"/>
          <w:szCs w:val="20"/>
        </w:rPr>
      </w:r>
    </w:p>
    <w:p>
      <w:pPr>
        <w:pBdr/>
        <w:spacing/>
        <w:ind/>
        <w:rPr>
          <w:rFonts w:ascii="Verdana" w:hAnsi="Verdana"/>
          <w:sz w:val="20"/>
          <w:szCs w:val="20"/>
        </w:rPr>
      </w:pPr>
      <w:r>
        <w:rPr>
          <w:rFonts w:ascii="Verdana" w:hAnsi="Verdana"/>
          <w:sz w:val="20"/>
          <w:szCs w:val="20"/>
        </w:rPr>
      </w:r>
      <w:r>
        <w:rPr>
          <w:rFonts w:ascii="Verdana" w:hAnsi="Verdana"/>
          <w:sz w:val="20"/>
          <w:szCs w:val="20"/>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606"/>
        <w:gridCol w:w="4606"/>
      </w:tblGrid>
      <w:tr>
        <w:trPr/>
        <w:tc>
          <w:tcPr>
            <w:gridSpan w:val="2"/>
            <w:shd w:val="pct10" w:color="auto" w:fill="auto"/>
            <w:tcBorders/>
            <w:tcW w:w="9212" w:type="dxa"/>
            <w:textDirection w:val="lrTb"/>
            <w:noWrap w:val="false"/>
          </w:tcPr>
          <w:p>
            <w:pPr>
              <w:pBdr/>
              <w:spacing w:line="312" w:lineRule="auto"/>
              <w:ind/>
              <w:rPr>
                <w:rFonts w:ascii="Verdana" w:hAnsi="Verdana" w:cs="Arial"/>
                <w:sz w:val="20"/>
                <w:szCs w:val="20"/>
              </w:rPr>
            </w:pPr>
            <w:r>
              <w:rPr>
                <w:rFonts w:ascii="Verdana" w:hAnsi="Verdana"/>
                <w:sz w:val="20"/>
              </w:rPr>
              <w:t xml:space="preserve">Weitere Tätigkeiten und Interessenbindungen</w:t>
            </w:r>
            <w:r>
              <w:rPr>
                <w:rFonts w:ascii="Verdana" w:hAnsi="Verdana" w:cs="Arial"/>
                <w:sz w:val="20"/>
                <w:szCs w:val="20"/>
              </w:rPr>
            </w:r>
          </w:p>
        </w:tc>
      </w:tr>
      <w:tr>
        <w:trPr>
          <w:trHeight w:val="3053"/>
        </w:trPr>
        <w:tc>
          <w:tcPr>
            <w:tcBorders/>
            <w:tcW w:w="4606" w:type="dxa"/>
            <w:textDirection w:val="lrTb"/>
            <w:noWrap w:val="false"/>
          </w:tcPr>
          <w:p>
            <w:pPr>
              <w:pBdr/>
              <w:spacing w:line="312" w:lineRule="auto"/>
              <w:ind/>
              <w:rPr>
                <w:rFonts w:ascii="Verdana" w:hAnsi="Verdana" w:cs="Arial"/>
                <w:sz w:val="20"/>
                <w:szCs w:val="20"/>
              </w:rPr>
            </w:pPr>
            <w:r>
              <w:rPr>
                <w:rFonts w:ascii="Verdana" w:hAnsi="Verdana"/>
                <w:sz w:val="20"/>
              </w:rPr>
              <w:t xml:space="preserve">a) Tätigkeiten in Führungs- und Aufsichtsgremien bedeutender schweizerischer und ausländischer Körperschaften, Anstalten und Stiftungen des privaten und des öffentlichen Rechts per 31. Dezember des laufenden Geschäftsjahres bzw. des Berichtsjahres;</w:t>
            </w:r>
            <w:r>
              <w:rPr>
                <w:rFonts w:ascii="Verdana" w:hAnsi="Verdana" w:cs="Arial"/>
                <w:sz w:val="20"/>
                <w:szCs w:val="20"/>
              </w:rPr>
            </w:r>
          </w:p>
          <w:p>
            <w:pPr>
              <w:pBdr/>
              <w:spacing w:line="312" w:lineRule="auto"/>
              <w:ind/>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4606" w:type="dxa"/>
            <w:textDirection w:val="lrTb"/>
            <w:noWrap w:val="false"/>
          </w:tcPr>
          <w:p>
            <w:pPr>
              <w:pBdr/>
              <w:spacing/>
              <w:ind/>
              <w:rPr>
                <w:rFonts w:ascii="Verdana" w:hAnsi="Verdana" w:cs="Arial"/>
                <w:sz w:val="20"/>
                <w:szCs w:val="20"/>
              </w:rPr>
            </w:pPr>
            <w:r>
              <w:rPr>
                <w:rFonts w:ascii="Verdana" w:hAnsi="Verdana" w:cs="Arial"/>
                <w:sz w:val="20"/>
                <w:szCs w:val="20"/>
              </w:rPr>
            </w:r>
            <w:r>
              <w:rPr>
                <w:rFonts w:ascii="Verdana" w:hAnsi="Verdana" w:cs="Arial"/>
                <w:sz w:val="20"/>
                <w:szCs w:val="20"/>
              </w:rPr>
            </w:r>
          </w:p>
        </w:tc>
      </w:tr>
      <w:tr>
        <w:trPr>
          <w:trHeight w:val="2542"/>
        </w:trPr>
        <w:tc>
          <w:tcPr>
            <w:tcBorders/>
            <w:tcW w:w="4606" w:type="dxa"/>
            <w:textDirection w:val="lrTb"/>
            <w:noWrap w:val="false"/>
          </w:tcPr>
          <w:p>
            <w:pPr>
              <w:pBdr/>
              <w:tabs>
                <w:tab w:val="left" w:leader="none" w:pos="266"/>
              </w:tabs>
              <w:spacing w:line="312" w:lineRule="auto"/>
              <w:ind/>
              <w:jc w:val="both"/>
              <w:rPr>
                <w:rFonts w:ascii="Verdana" w:hAnsi="Verdana" w:cs="Arial"/>
                <w:sz w:val="20"/>
                <w:szCs w:val="20"/>
              </w:rPr>
            </w:pPr>
            <w:r>
              <w:rPr>
                <w:rFonts w:ascii="Verdana" w:hAnsi="Verdana"/>
                <w:sz w:val="20"/>
              </w:rPr>
              <w:t xml:space="preserve">b) </w:t>
            </w:r>
            <w:r>
              <w:rPr>
                <w:rFonts w:ascii="Verdana" w:hAnsi="Verdana"/>
                <w:sz w:val="20"/>
              </w:rPr>
              <w:t xml:space="preserve">dauernde Leitungs- und Berater</w:t>
            </w:r>
            <w:r>
              <w:rPr>
                <w:rFonts w:ascii="Verdana" w:hAnsi="Verdana"/>
                <w:sz w:val="20"/>
              </w:rPr>
              <w:t xml:space="preserve">-</w:t>
            </w:r>
            <w:r>
              <w:rPr>
                <w:rFonts w:ascii="Verdana" w:hAnsi="Verdana"/>
                <w:sz w:val="20"/>
              </w:rPr>
              <w:t xml:space="preserve">funktionen für wichtige schweizerische und ausländische Interessengruppen per 31. Dezember des laufenden Geschäftsjahres bzw. des Berichtsjahres;</w:t>
            </w:r>
            <w:r>
              <w:rPr>
                <w:rFonts w:ascii="Verdana" w:hAnsi="Verdana" w:cs="Arial"/>
                <w:sz w:val="20"/>
                <w:szCs w:val="20"/>
              </w:rPr>
            </w:r>
          </w:p>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4606"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r>
      <w:tr>
        <w:trPr>
          <w:trHeight w:val="2537"/>
        </w:trPr>
        <w:tc>
          <w:tcPr>
            <w:tcBorders/>
            <w:tcW w:w="4606" w:type="dxa"/>
            <w:textDirection w:val="lrTb"/>
            <w:noWrap w:val="false"/>
          </w:tcPr>
          <w:p>
            <w:pPr>
              <w:pBdr/>
              <w:spacing w:line="312" w:lineRule="auto"/>
              <w:ind/>
              <w:jc w:val="both"/>
              <w:rPr>
                <w:rFonts w:ascii="Verdana" w:hAnsi="Verdana" w:cs="Arial"/>
                <w:sz w:val="20"/>
                <w:szCs w:val="20"/>
              </w:rPr>
            </w:pPr>
            <w:r>
              <w:rPr>
                <w:rFonts w:ascii="Verdana" w:hAnsi="Verdana"/>
                <w:sz w:val="20"/>
              </w:rPr>
              <w:t xml:space="preserve">c) amtliche Funktionen und politische Ämter per 31. Dezember des laufenden Geschäftsjahres bzw. des Berichtsjahres.</w:t>
            </w:r>
            <w:r>
              <w:rPr>
                <w:rFonts w:ascii="Verdana" w:hAnsi="Verdana" w:cs="Arial"/>
                <w:sz w:val="20"/>
                <w:szCs w:val="20"/>
              </w:rPr>
            </w:r>
          </w:p>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c>
          <w:tcPr>
            <w:tcBorders/>
            <w:tcW w:w="4606" w:type="dxa"/>
            <w:textDirection w:val="lrTb"/>
            <w:noWrap w:val="false"/>
          </w:tcPr>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tc>
      </w:tr>
    </w:tbl>
    <w:p>
      <w:pPr>
        <w:pBdr/>
        <w:spacing w:line="312" w:lineRule="auto"/>
        <w:ind/>
        <w:jc w:val="both"/>
        <w:rPr>
          <w:rFonts w:ascii="Verdana" w:hAnsi="Verdana" w:cs="Arial"/>
          <w:sz w:val="20"/>
          <w:szCs w:val="20"/>
        </w:rPr>
      </w:pPr>
      <w:r>
        <w:rPr>
          <w:rFonts w:ascii="Verdana" w:hAnsi="Verdana" w:cs="Arial"/>
          <w:sz w:val="20"/>
          <w:szCs w:val="20"/>
        </w:rPr>
      </w:r>
      <w:r>
        <w:rPr>
          <w:rFonts w:ascii="Verdana" w:hAnsi="Verdana" w:cs="Arial"/>
          <w:sz w:val="20"/>
          <w:szCs w:val="20"/>
        </w:rPr>
      </w:r>
    </w:p>
    <w:p>
      <w:pPr>
        <w:widowControl w:val="true"/>
        <w:pBdr/>
        <w:spacing/>
        <w:ind/>
        <w:rPr>
          <w:rStyle w:val="801"/>
          <w:rFonts w:ascii="Verdana" w:hAnsi="Verdana" w:cs="Arial"/>
          <w:sz w:val="20"/>
          <w:szCs w:val="20"/>
        </w:rPr>
      </w:pPr>
      <w:r>
        <w:rPr>
          <w:rFonts w:ascii="Verdana" w:hAnsi="Verdana" w:cs="Arial"/>
          <w:sz w:val="20"/>
          <w:szCs w:val="20"/>
        </w:rPr>
      </w:r>
      <w:r>
        <w:rPr>
          <w:rStyle w:val="801"/>
          <w:rFonts w:ascii="Verdana" w:hAnsi="Verdana" w:cs="Arial"/>
          <w:sz w:val="20"/>
          <w:szCs w:val="20"/>
        </w:rPr>
      </w:r>
    </w:p>
    <w:p>
      <w:pPr>
        <w:pStyle w:val="788"/>
        <w:widowControl w:val="true"/>
        <w:pBdr/>
        <w:shd w:val="clear" w:color="auto" w:fill="ffffff"/>
        <w:tabs>
          <w:tab w:val="left" w:leader="none" w:pos="4368"/>
        </w:tabs>
        <w:spacing w:before="168" w:line="240" w:lineRule="auto"/>
        <w:ind/>
        <w:jc w:val="both"/>
        <w:rPr>
          <w:rStyle w:val="801"/>
          <w:rFonts w:ascii="Verdana" w:hAnsi="Verdana" w:cs="Arial"/>
          <w:sz w:val="20"/>
          <w:szCs w:val="20"/>
        </w:rPr>
      </w:pPr>
      <w:r>
        <w:rPr>
          <w:rFonts w:ascii="Verdana" w:hAnsi="Verdana" w:cs="Arial"/>
          <w:sz w:val="20"/>
          <w:szCs w:val="20"/>
        </w:rPr>
      </w:r>
      <w:r>
        <w:rPr>
          <w:rStyle w:val="801"/>
          <w:rFonts w:ascii="Verdana" w:hAnsi="Verdana" w:cs="Arial"/>
          <w:sz w:val="20"/>
          <w:szCs w:val="20"/>
        </w:rPr>
      </w:r>
    </w:p>
    <w:sectPr>
      <w:headerReference w:type="default" r:id="rId9"/>
      <w:headerReference w:type="even" r:id="rId10"/>
      <w:headerReference w:type="first" r:id="rId11"/>
      <w:footerReference w:type="default" r:id="rId12"/>
      <w:footnotePr/>
      <w:endnotePr/>
      <w:type w:val="nextPage"/>
      <w:pgSz w:h="16838" w:orient="portrait" w:w="11906"/>
      <w:pgMar w:top="1417" w:right="1417" w:bottom="1134" w:left="1417"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Symbol">
    <w:panose1 w:val="05010000000000000000"/>
  </w:font>
  <w:font w:name="Wingdings">
    <w:panose1 w:val="05010000000000000000"/>
  </w:font>
  <w:font w:name="Courier New">
    <w:panose1 w:val="02070309020205020404"/>
  </w:font>
  <w:font w:name="Tahoma">
    <w:panose1 w:val="020B0604030504040204"/>
  </w:font>
  <w:font w:name="Times New Roman">
    <w:panose1 w:val="02020603050405020304"/>
  </w:font>
  <w:font w:name="HelveticaNeueLT Std Lt">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pPr>
    <w:r>
      <w:rPr>
        <w:rFonts w:ascii="Verdana" w:hAnsi="Verdana"/>
        <w:sz w:val="14"/>
      </w:rPr>
      <w:t xml:space="preserve">Seite </w:t>
    </w:r>
    <w:r>
      <w:rPr>
        <w:rFonts w:ascii="Verdana" w:hAnsi="Verdana"/>
        <w:sz w:val="14"/>
        <w:szCs w:val="14"/>
      </w:rPr>
      <w:fldChar w:fldCharType="begin"/>
    </w:r>
    <w:r>
      <w:rPr>
        <w:rFonts w:ascii="Verdana" w:hAnsi="Verdana"/>
        <w:sz w:val="14"/>
        <w:szCs w:val="14"/>
      </w:rPr>
      <w:instrText xml:space="preserve"> PAGE </w:instrText>
    </w:r>
    <w:r>
      <w:rPr>
        <w:rFonts w:ascii="Verdana" w:hAnsi="Verdana"/>
        <w:sz w:val="14"/>
        <w:szCs w:val="14"/>
      </w:rPr>
      <w:fldChar w:fldCharType="separate"/>
    </w:r>
    <w:r>
      <w:rPr>
        <w:rFonts w:ascii="Verdana" w:hAnsi="Verdana"/>
        <w:sz w:val="14"/>
        <w:szCs w:val="14"/>
      </w:rPr>
      <w:t xml:space="preserve">2</w:t>
    </w:r>
    <w:r>
      <w:rPr>
        <w:rFonts w:ascii="Verdana" w:hAnsi="Verdana"/>
        <w:sz w:val="14"/>
        <w:szCs w:val="14"/>
      </w:rPr>
      <w:fldChar w:fldCharType="end"/>
    </w:r>
    <w:r>
      <w:rPr>
        <w:rFonts w:ascii="Verdana" w:hAnsi="Verdana"/>
        <w:sz w:val="14"/>
      </w:rPr>
      <w:t xml:space="preserve"> | 3</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6"/>
      <w:pBdr/>
      <w:spacing/>
      <w:ind/>
      <w:rPr>
        <w:rFonts w:ascii="Arial" w:hAnsi="Arial" w:cs="Arial"/>
        <w:b/>
      </w:rPr>
    </w:pPr>
    <w:r>
      <w:rPr>
        <w:rFonts w:ascii="Verdana" w:hAnsi="Verdana" w:cs="Arial"/>
        <w:color w:val="ff0000"/>
        <w:sz w:val="20"/>
        <w:szCs w:val="20"/>
        <w:lang w:val="fr-CH" w:eastAsia="fr-CH"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2284730</wp:posOffset>
              </wp:positionH>
              <wp:positionV relativeFrom="paragraph">
                <wp:posOffset>-171812</wp:posOffset>
              </wp:positionV>
              <wp:extent cx="1757045" cy="146050"/>
              <wp:effectExtent l="0" t="0" r="14604" b="6350"/>
              <wp:wrapNone/>
              <wp:docPr id="1" name="Zeichenbereich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wpg:grpSpPr bwMode="auto">
                      <a:xfrm>
                        <a:off x="0" y="0"/>
                        <a:ext cx="1757045" cy="146050"/>
                        <a:chOff x="0" y="0"/>
                        <a:chExt cx="1757045" cy="146050"/>
                      </a:xfrm>
                    </wpg:grpSpPr>
                    <wps:wsp>
                      <wps:cNvPr id="0" name=""/>
                      <wps:cNvSpPr>
                        <a:spLocks noChangeArrowheads="1"/>
                      </wps:cNvSpPr>
                      <wps:spPr bwMode="auto">
                        <a:xfrm>
                          <a:off x="0" y="0"/>
                          <a:ext cx="910590" cy="146050"/>
                        </a:xfrm>
                        <a:prstGeom prst="rect">
                          <a:avLst/>
                        </a:prstGeom>
                        <a:noFill/>
                        <a:ln>
                          <a:noFill/>
                        </a:ln>
                      </wps:spPr>
                      <wps:txbx>
                        <w:txbxContent>
                          <w:p>
                            <w:pPr>
                              <w:pBdr/>
                              <w:spacing/>
                              <w:ind/>
                              <w:rPr/>
                            </w:pPr>
                            <w:r>
                              <w:rPr>
                                <w:rFonts w:ascii="Arial" w:hAnsi="Arial" w:cs="Arial"/>
                                <w:b/>
                                <w:bCs/>
                                <w:color w:val="000000"/>
                                <w:sz w:val="20"/>
                                <w:szCs w:val="20"/>
                                <w:lang w:val="en-US"/>
                              </w:rPr>
                              <w:t xml:space="preserve">VERTRAULICH</w:t>
                            </w:r>
                            <w:r/>
                          </w:p>
                        </w:txbxContent>
                      </wps:txbx>
                      <wps:bodyPr rot="0" vert="horz" wrap="non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id="group 0" o:spid="_x0000_s0000" style="position:absolute;z-index:251662336;o:allowoverlap:true;o:allowincell:true;mso-position-horizontal-relative:text;margin-left:179.90pt;mso-position-horizontal:absolute;mso-position-vertical-relative:text;margin-top:-13.53pt;mso-position-vertical:absolute;width:138.35pt;height:11.50pt;mso-wrap-distance-left:9.00pt;mso-wrap-distance-top:0.00pt;mso-wrap-distance-right:9.00pt;mso-wrap-distance-bottom:0.00pt;" coordorigin="0,0" coordsize="17570,1460">
              <v:shape id="shape 1" o:spid="_x0000_s1" o:spt="1" type="#_x0000_t1" style="position:absolute;left:0;top:0;width:9105;height:1460;v-text-anchor:top;visibility:visible;" filled="f" stroked="f">
                <v:textbox inset="0,0,0,0">
                  <w:txbxContent>
                    <w:p>
                      <w:pPr>
                        <w:pBdr/>
                        <w:spacing/>
                        <w:ind/>
                        <w:rPr/>
                      </w:pPr>
                      <w:r>
                        <w:rPr>
                          <w:rFonts w:ascii="Arial" w:hAnsi="Arial" w:cs="Arial"/>
                          <w:b/>
                          <w:bCs/>
                          <w:color w:val="000000"/>
                          <w:sz w:val="20"/>
                          <w:szCs w:val="20"/>
                          <w:lang w:val="en-US"/>
                        </w:rPr>
                        <w:t xml:space="preserve">VERTRAULICH</w:t>
                      </w:r>
                      <w:r/>
                    </w:p>
                  </w:txbxContent>
                </v:textbox>
              </v:shape>
            </v:group>
          </w:pict>
        </mc:Fallback>
      </mc:AlternateContent>
    </w:r>
    <w:r>
      <w:rPr>
        <w:rFonts w:ascii="Verdana" w:hAnsi="Verdana" w:cs="Arial"/>
        <w:color w:val="ff0000"/>
        <w:sz w:val="20"/>
        <w:szCs w:val="20"/>
        <w:lang w:val="fr-CH" w:eastAsia="fr-CH" w:bidi="ar-SA"/>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3632209</wp:posOffset>
              </wp:positionH>
              <wp:positionV relativeFrom="paragraph">
                <wp:posOffset>-24729</wp:posOffset>
              </wp:positionV>
              <wp:extent cx="2124075" cy="247650"/>
              <wp:effectExtent l="0" t="0" r="28575" b="19050"/>
              <wp:wrapNone/>
              <wp:docPr id="2" name="Zone de texte 4"/>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124075" cy="247650"/>
                      </a:xfrm>
                      <a:prstGeom prst="rect">
                        <a:avLst/>
                      </a:prstGeom>
                      <a:solidFill>
                        <a:srgbClr val="FFFFFF"/>
                      </a:solidFill>
                      <a:ln w="9525">
                        <a:solidFill>
                          <a:srgbClr val="000000"/>
                        </a:solidFill>
                        <a:miter lim="800000"/>
                        <a:headEnd/>
                        <a:tailEnd/>
                      </a:ln>
                    </wps:spPr>
                    <wps:txbx>
                      <w:txbxContent>
                        <w:p>
                          <w:pPr>
                            <w:pBdr/>
                            <w:spacing/>
                            <w:ind/>
                            <w:jc w:val="center"/>
                            <w:rPr>
                              <w:rFonts w:ascii="Arial" w:hAnsi="Arial" w:cs="Arial"/>
                              <w:sz w:val="22"/>
                            </w:rPr>
                          </w:pPr>
                          <w:r>
                            <w:rPr>
                              <w:rFonts w:ascii="Arial" w:hAnsi="Arial"/>
                              <w:sz w:val="22"/>
                            </w:rPr>
                            <w:t xml:space="preserve">OrgR: Anhang C3</w:t>
                          </w:r>
                          <w:r>
                            <w:rPr>
                              <w:rFonts w:ascii="Arial" w:hAnsi="Arial" w:cs="Arial"/>
                              <w:sz w:val="22"/>
                            </w:rPr>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shape 2" o:spid="_x0000_s2" o:spt="202" type="#_x0000_t202" style="position:absolute;z-index:251660288;o:allowoverlap:true;o:allowincell:true;mso-position-horizontal-relative:text;margin-left:286.00pt;mso-position-horizontal:absolute;mso-position-vertical-relative:text;margin-top:-1.95pt;mso-position-vertical:absolute;width:167.25pt;height:19.50pt;mso-wrap-distance-left:9.00pt;mso-wrap-distance-top:0.00pt;mso-wrap-distance-right:9.00pt;mso-wrap-distance-bottom:0.00pt;v-text-anchor:top;visibility:visible;" fillcolor="#FFFFFF" strokecolor="#000000" strokeweight="0.75pt">
              <v:textbox inset="0,0,0,0">
                <w:txbxContent>
                  <w:p>
                    <w:pPr>
                      <w:pBdr/>
                      <w:spacing/>
                      <w:ind/>
                      <w:jc w:val="center"/>
                      <w:rPr>
                        <w:rFonts w:ascii="Arial" w:hAnsi="Arial" w:cs="Arial"/>
                        <w:sz w:val="22"/>
                      </w:rPr>
                    </w:pPr>
                    <w:r>
                      <w:rPr>
                        <w:rFonts w:ascii="Arial" w:hAnsi="Arial"/>
                        <w:sz w:val="22"/>
                      </w:rPr>
                      <w:t xml:space="preserve">OrgR: Anhang C3</w:t>
                    </w:r>
                    <w:r>
                      <w:rPr>
                        <w:rFonts w:ascii="Arial" w:hAnsi="Arial" w:cs="Arial"/>
                        <w:sz w:val="22"/>
                      </w:rPr>
                    </w:r>
                  </w:p>
                </w:txbxContent>
              </v:textbox>
            </v:shape>
          </w:pict>
        </mc:Fallback>
      </mc:AlternateContent>
    </w:r>
    <w:r>
      <w:rPr>
        <w:rFonts w:ascii="Arial" w:hAnsi="Arial" w:cs="Arial"/>
        <w:b/>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6"/>
      <w:pBdr/>
      <w:spacing/>
      <w:ind/>
      <w:rPr/>
    </w:pPr>
    <w:r>
      <w:rPr>
        <w:lang w:val="fr-CH" w:eastAsia="fr-CH" w:bidi="ar-SA"/>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page">
                <wp:posOffset>3313430</wp:posOffset>
              </wp:positionH>
              <wp:positionV relativeFrom="page">
                <wp:posOffset>317500</wp:posOffset>
              </wp:positionV>
              <wp:extent cx="933450" cy="95250"/>
              <wp:effectExtent l="0" t="0" r="0" b="0"/>
              <wp:wrapNone/>
              <wp:docPr id="3" name="WordClassification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r/>
                    </pic:nvPicPr>
                    <pic:blipFill>
                      <a:blip r:embed="rId1"/>
                      <a:stretch/>
                    </pic:blipFill>
                    <pic:spPr bwMode="auto">
                      <a:xfrm>
                        <a:off x="0" y="0"/>
                        <a:ext cx="933450" cy="9525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59264;o:allowoverlap:true;o:allowincell:true;mso-position-horizontal-relative:page;margin-left:260.90pt;mso-position-horizontal:absolute;mso-position-vertical-relative:page;margin-top:25.00pt;mso-position-vertical:absolute;width:73.50pt;height:7.50pt;mso-wrap-distance-left:9.00pt;mso-wrap-distance-top:0.00pt;mso-wrap-distance-right:9.00pt;mso-wrap-distance-bottom:0.00pt;z-index:1;" stroked="false">
              <v:imagedata r:id="rId1" o:title=""/>
              <o:lock v:ext="edit" rotation="t"/>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6"/>
      <w:pBdr/>
      <w:spacing/>
      <w:ind/>
      <w:rPr/>
    </w:pPr>
    <w:r>
      <w:rPr>
        <w:lang w:val="fr-CH" w:eastAsia="fr-CH" w:bidi="ar-SA"/>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page">
                <wp:posOffset>3313430</wp:posOffset>
              </wp:positionH>
              <wp:positionV relativeFrom="page">
                <wp:posOffset>317500</wp:posOffset>
              </wp:positionV>
              <wp:extent cx="933450" cy="95250"/>
              <wp:effectExtent l="0" t="0" r="0" b="0"/>
              <wp:wrapNone/>
              <wp:docPr id="4" name="WordClassification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1"/>
                      <a:stretch/>
                    </pic:blipFill>
                    <pic:spPr bwMode="auto">
                      <a:xfrm>
                        <a:off x="0" y="0"/>
                        <a:ext cx="933450" cy="9525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58240;o:allowoverlap:true;o:allowincell:true;mso-position-horizontal-relative:page;margin-left:260.90pt;mso-position-horizontal:absolute;mso-position-vertical-relative:page;margin-top:25.00pt;mso-position-vertical:absolute;width:73.50pt;height:7.50pt;mso-wrap-distance-left:9.00pt;mso-wrap-distance-top:0.00pt;mso-wrap-distance-right:9.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pPr>
      <w:rPr/>
      <w:start w:val="0"/>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lvl w:ilvl="0">
      <w:isLgl w:val="false"/>
      <w:lvlJc w:val="left"/>
      <w:lvlText w:val="%1)"/>
      <w:numFmt w:val="upperLetter"/>
      <w:pPr>
        <w:pBdr/>
        <w:tabs>
          <w:tab w:val="num" w:leader="none" w:pos="720"/>
        </w:tabs>
        <w:spacing/>
        <w:ind w:hanging="360" w:left="720"/>
      </w:pPr>
      <w:rPr>
        <w:rFonts w:hint="default" w:cs="Times New Roman"/>
      </w:rPr>
      <w:start w:val="3"/>
      <w:suff w:val="tab"/>
    </w:lvl>
    <w:lvl w:ilvl="1">
      <w:isLgl w:val="false"/>
      <w:lvlJc w:val="left"/>
      <w:lvlText w:val="%2)"/>
      <w:numFmt w:val="lowerLetter"/>
      <w:pPr>
        <w:pBdr/>
        <w:tabs>
          <w:tab w:val="num" w:leader="none" w:pos="1440"/>
        </w:tabs>
        <w:spacing/>
        <w:ind w:hanging="360" w:left="1440"/>
      </w:pPr>
      <w:rPr>
        <w:rFonts w:hint="default" w:cs="Times New Roman"/>
      </w:rPr>
      <w:start w:val="4"/>
      <w:suff w:val="tab"/>
    </w:lvl>
    <w:lvl w:ilvl="2">
      <w:isLgl w:val="false"/>
      <w:lvlJc w:val="right"/>
      <w:lvlText w:val="%3."/>
      <w:numFmt w:val="lowerRoman"/>
      <w:pPr>
        <w:pBdr/>
        <w:tabs>
          <w:tab w:val="num" w:leader="none" w:pos="2160"/>
        </w:tabs>
        <w:spacing/>
        <w:ind w:hanging="180" w:left="2160"/>
      </w:pPr>
      <w:rPr>
        <w:rFonts w:cs="Times New Roman"/>
      </w:rPr>
      <w:start w:val="1"/>
      <w:suff w:val="tab"/>
    </w:lvl>
    <w:lvl w:ilvl="3">
      <w:isLgl w:val="false"/>
      <w:lvlJc w:val="left"/>
      <w:lvlText w:val="%4."/>
      <w:numFmt w:val="decimal"/>
      <w:pPr>
        <w:pBdr/>
        <w:tabs>
          <w:tab w:val="num" w:leader="none" w:pos="2880"/>
        </w:tabs>
        <w:spacing/>
        <w:ind w:hanging="360" w:left="2880"/>
      </w:pPr>
      <w:rPr>
        <w:rFonts w:cs="Times New Roman"/>
      </w:rPr>
      <w:start w:val="1"/>
      <w:suff w:val="tab"/>
    </w:lvl>
    <w:lvl w:ilvl="4">
      <w:isLgl w:val="false"/>
      <w:lvlJc w:val="left"/>
      <w:lvlText w:val="%5."/>
      <w:numFmt w:val="lowerLetter"/>
      <w:pPr>
        <w:pBdr/>
        <w:tabs>
          <w:tab w:val="num" w:leader="none" w:pos="3600"/>
        </w:tabs>
        <w:spacing/>
        <w:ind w:hanging="360" w:left="3600"/>
      </w:pPr>
      <w:rPr>
        <w:rFonts w:cs="Times New Roman"/>
      </w:rPr>
      <w:start w:val="1"/>
      <w:suff w:val="tab"/>
    </w:lvl>
    <w:lvl w:ilvl="5">
      <w:isLgl w:val="false"/>
      <w:lvlJc w:val="right"/>
      <w:lvlText w:val="%6."/>
      <w:numFmt w:val="lowerRoman"/>
      <w:pPr>
        <w:pBdr/>
        <w:tabs>
          <w:tab w:val="num" w:leader="none" w:pos="4320"/>
        </w:tabs>
        <w:spacing/>
        <w:ind w:hanging="180" w:left="4320"/>
      </w:pPr>
      <w:rPr>
        <w:rFonts w:cs="Times New Roman"/>
      </w:rPr>
      <w:start w:val="1"/>
      <w:suff w:val="tab"/>
    </w:lvl>
    <w:lvl w:ilvl="6">
      <w:isLgl w:val="false"/>
      <w:lvlJc w:val="left"/>
      <w:lvlText w:val="%7."/>
      <w:numFmt w:val="decimal"/>
      <w:pPr>
        <w:pBdr/>
        <w:tabs>
          <w:tab w:val="num" w:leader="none" w:pos="5040"/>
        </w:tabs>
        <w:spacing/>
        <w:ind w:hanging="360" w:left="5040"/>
      </w:pPr>
      <w:rPr>
        <w:rFonts w:cs="Times New Roman"/>
      </w:rPr>
      <w:start w:val="1"/>
      <w:suff w:val="tab"/>
    </w:lvl>
    <w:lvl w:ilvl="7">
      <w:isLgl w:val="false"/>
      <w:lvlJc w:val="left"/>
      <w:lvlText w:val="%8."/>
      <w:numFmt w:val="lowerLetter"/>
      <w:pPr>
        <w:pBdr/>
        <w:tabs>
          <w:tab w:val="num" w:leader="none" w:pos="5760"/>
        </w:tabs>
        <w:spacing/>
        <w:ind w:hanging="360" w:left="5760"/>
      </w:pPr>
      <w:rPr>
        <w:rFonts w:cs="Times New Roman"/>
      </w:rPr>
      <w:start w:val="1"/>
      <w:suff w:val="tab"/>
    </w:lvl>
    <w:lvl w:ilvl="8">
      <w:isLgl w:val="false"/>
      <w:lvlJc w:val="right"/>
      <w:lvlText w:val="%9."/>
      <w:numFmt w:val="lowerRoman"/>
      <w:pPr>
        <w:pBdr/>
        <w:tabs>
          <w:tab w:val="num" w:leader="none" w:pos="6480"/>
        </w:tabs>
        <w:spacing/>
        <w:ind w:hanging="180" w:left="6480"/>
      </w:pPr>
      <w:rPr>
        <w:rFonts w:cs="Times New Roman"/>
      </w:rPr>
      <w:start w:val="1"/>
      <w:suff w:val="tab"/>
    </w:lvl>
  </w:abstractNum>
  <w:abstractNum w:abstractNumId="2">
    <w:lvl w:ilvl="0">
      <w:isLgl w:val="false"/>
      <w:lvlJc w:val="left"/>
      <w:lvlText w:val="-"/>
      <w:numFmt w:val="bullet"/>
      <w:pPr>
        <w:pBdr/>
        <w:tabs>
          <w:tab w:val="num" w:leader="none" w:pos="720"/>
        </w:tabs>
        <w:spacing/>
        <w:ind w:hanging="360" w:left="720"/>
      </w:pPr>
      <w:rPr>
        <w:rFonts w:hint="default" w:ascii="Arial" w:hAnsi="Arial" w:eastAsia="Times New Roman"/>
      </w:rPr>
      <w:start w:val="15"/>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
    <w:lvl w:ilvl="0">
      <w:isLgl w:val="false"/>
      <w:legacy w:legacy="true" w:legacyIndent="735" w:legacySpace="0"/>
      <w:lvlJc w:val="left"/>
      <w:lvlText w:val="2.%1"/>
      <w:numFmt w:val="decimal"/>
      <w:pPr>
        <w:pBdr/>
        <w:spacing/>
        <w:ind/>
      </w:pPr>
      <w:rPr>
        <w:rFonts w:hint="default" w:ascii="Times New Roman" w:hAnsi="Times New Roman" w:cs="Times New Roman"/>
        <w:b/>
      </w:rPr>
      <w:start w:val="2"/>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4">
    <w:lvl w:ilvl="0">
      <w:isLgl w:val="false"/>
      <w:lvlJc w:val="left"/>
      <w:lvlText w:val="%1."/>
      <w:numFmt w:val="decimal"/>
      <w:pPr>
        <w:pBdr/>
        <w:spacing/>
        <w:ind w:hanging="570" w:left="575"/>
      </w:pPr>
      <w:rPr>
        <w:rFonts w:hint="default" w:cs="Times New Roman"/>
      </w:rPr>
      <w:start w:val="1"/>
      <w:suff w:val="tab"/>
    </w:lvl>
    <w:lvl w:ilvl="1">
      <w:isLgl w:val="true"/>
      <w:lvlJc w:val="left"/>
      <w:lvlText w:val="%1.%2"/>
      <w:numFmt w:val="decimal"/>
      <w:pPr>
        <w:pBdr/>
        <w:spacing/>
        <w:ind w:hanging="360" w:left="365"/>
      </w:pPr>
      <w:rPr>
        <w:rFonts w:hint="default" w:cs="Times New Roman"/>
        <w:b/>
      </w:rPr>
      <w:start w:val="1"/>
      <w:suff w:val="tab"/>
    </w:lvl>
    <w:lvl w:ilvl="2">
      <w:isLgl w:val="true"/>
      <w:lvlJc w:val="left"/>
      <w:lvlText w:val="%1.%2.%3"/>
      <w:numFmt w:val="decimal"/>
      <w:pPr>
        <w:pBdr/>
        <w:spacing/>
        <w:ind w:hanging="720" w:left="725"/>
      </w:pPr>
      <w:rPr>
        <w:rFonts w:hint="default" w:cs="Times New Roman"/>
        <w:b/>
      </w:rPr>
      <w:start w:val="1"/>
      <w:suff w:val="tab"/>
    </w:lvl>
    <w:lvl w:ilvl="3">
      <w:isLgl w:val="true"/>
      <w:lvlJc w:val="left"/>
      <w:lvlText w:val="%1.%2.%3.%4"/>
      <w:numFmt w:val="decimal"/>
      <w:pPr>
        <w:pBdr/>
        <w:spacing/>
        <w:ind w:hanging="720" w:left="725"/>
      </w:pPr>
      <w:rPr>
        <w:rFonts w:hint="default" w:cs="Times New Roman"/>
      </w:rPr>
      <w:start w:val="1"/>
      <w:suff w:val="tab"/>
    </w:lvl>
    <w:lvl w:ilvl="4">
      <w:isLgl w:val="true"/>
      <w:lvlJc w:val="left"/>
      <w:lvlText w:val="%1.%2.%3.%4.%5"/>
      <w:numFmt w:val="decimal"/>
      <w:pPr>
        <w:pBdr/>
        <w:spacing/>
        <w:ind w:hanging="1080" w:left="1085"/>
      </w:pPr>
      <w:rPr>
        <w:rFonts w:hint="default" w:cs="Times New Roman"/>
      </w:rPr>
      <w:start w:val="1"/>
      <w:suff w:val="tab"/>
    </w:lvl>
    <w:lvl w:ilvl="5">
      <w:isLgl w:val="true"/>
      <w:lvlJc w:val="left"/>
      <w:lvlText w:val="%1.%2.%3.%4.%5.%6"/>
      <w:numFmt w:val="decimal"/>
      <w:pPr>
        <w:pBdr/>
        <w:spacing/>
        <w:ind w:hanging="1080" w:left="1085"/>
      </w:pPr>
      <w:rPr>
        <w:rFonts w:hint="default" w:cs="Times New Roman"/>
      </w:rPr>
      <w:start w:val="1"/>
      <w:suff w:val="tab"/>
    </w:lvl>
    <w:lvl w:ilvl="6">
      <w:isLgl w:val="true"/>
      <w:lvlJc w:val="left"/>
      <w:lvlText w:val="%1.%2.%3.%4.%5.%6.%7"/>
      <w:numFmt w:val="decimal"/>
      <w:pPr>
        <w:pBdr/>
        <w:spacing/>
        <w:ind w:hanging="1440" w:left="1445"/>
      </w:pPr>
      <w:rPr>
        <w:rFonts w:hint="default" w:cs="Times New Roman"/>
      </w:rPr>
      <w:start w:val="1"/>
      <w:suff w:val="tab"/>
    </w:lvl>
    <w:lvl w:ilvl="7">
      <w:isLgl w:val="true"/>
      <w:lvlJc w:val="left"/>
      <w:lvlText w:val="%1.%2.%3.%4.%5.%6.%7.%8"/>
      <w:numFmt w:val="decimal"/>
      <w:pPr>
        <w:pBdr/>
        <w:spacing/>
        <w:ind w:hanging="1440" w:left="1445"/>
      </w:pPr>
      <w:rPr>
        <w:rFonts w:hint="default" w:cs="Times New Roman"/>
      </w:rPr>
      <w:start w:val="1"/>
      <w:suff w:val="tab"/>
    </w:lvl>
    <w:lvl w:ilvl="8">
      <w:isLgl w:val="true"/>
      <w:lvlJc w:val="left"/>
      <w:lvlText w:val="%1.%2.%3.%4.%5.%6.%7.%8.%9"/>
      <w:numFmt w:val="decimal"/>
      <w:pPr>
        <w:pBdr/>
        <w:spacing/>
        <w:ind w:hanging="1440" w:left="1445"/>
      </w:pPr>
      <w:rPr>
        <w:rFonts w:hint="default" w:cs="Times New Roman"/>
      </w:rPr>
      <w:start w:val="1"/>
      <w:suff w:val="tab"/>
    </w:lvl>
  </w:abstractNum>
  <w:abstractNum w:abstractNumId="5">
    <w:lvl w:ilvl="0">
      <w:isLgl w:val="false"/>
      <w:legacy w:legacy="true" w:legacyIndent="696" w:legacySpace="0"/>
      <w:lvlJc w:val="left"/>
      <w:lvlText w:val="1.3.%1"/>
      <w:numFmt w:val="decimal"/>
      <w:pPr>
        <w:pBdr/>
        <w:spacing/>
        <w:ind/>
      </w:pPr>
      <w:rPr>
        <w:rFonts w:hint="default" w:ascii="Times New Roman" w:hAnsi="Times New Roman" w:cs="Times New Roman"/>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6">
    <w:lvl w:ilvl="0">
      <w:isLgl w:val="false"/>
      <w:lvlJc w:val="left"/>
      <w:lvlText w:val="–"/>
      <w:numFmt w:val="bullet"/>
      <w:pPr>
        <w:pBdr/>
        <w:tabs>
          <w:tab w:val="num" w:leader="none" w:pos="709"/>
        </w:tabs>
        <w:spacing/>
        <w:ind w:hanging="709" w:left="709"/>
      </w:pPr>
      <w:pStyle w:val="823"/>
      <w:rPr>
        <w:rFonts w:hint="default" w:ascii="HelveticaNeueLT Std Lt" w:hAnsi="HelveticaNeueLT Std Lt"/>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
      <w:numFmt w:val="bullet"/>
      <w:pPr>
        <w:pBdr/>
        <w:tabs>
          <w:tab w:val="num" w:leader="none" w:pos="420"/>
        </w:tabs>
        <w:spacing/>
        <w:ind w:hanging="360" w:left="420"/>
      </w:pPr>
      <w:rPr>
        <w:rFonts w:hint="default" w:ascii="Arial" w:hAnsi="Arial" w:eastAsia="Times New Roman"/>
      </w:rPr>
      <w:start w:val="6"/>
      <w:suff w:val="tab"/>
    </w:lvl>
    <w:lvl w:ilvl="1">
      <w:isLgl w:val="false"/>
      <w:lvlJc w:val="left"/>
      <w:lvlText w:val="o"/>
      <w:numFmt w:val="bullet"/>
      <w:pPr>
        <w:pBdr/>
        <w:tabs>
          <w:tab w:val="num" w:leader="none" w:pos="1140"/>
        </w:tabs>
        <w:spacing/>
        <w:ind w:hanging="360" w:left="1140"/>
      </w:pPr>
      <w:rPr>
        <w:rFonts w:hint="default" w:ascii="Courier New" w:hAnsi="Courier New"/>
      </w:rPr>
      <w:start w:val="1"/>
      <w:suff w:val="tab"/>
    </w:lvl>
    <w:lvl w:ilvl="2">
      <w:isLgl w:val="false"/>
      <w:lvlJc w:val="left"/>
      <w:lvlText w:val=""/>
      <w:numFmt w:val="bullet"/>
      <w:pPr>
        <w:pBdr/>
        <w:tabs>
          <w:tab w:val="num" w:leader="none" w:pos="1860"/>
        </w:tabs>
        <w:spacing/>
        <w:ind w:hanging="360" w:left="1860"/>
      </w:pPr>
      <w:rPr>
        <w:rFonts w:hint="default" w:ascii="Wingdings" w:hAnsi="Wingdings"/>
      </w:rPr>
      <w:start w:val="1"/>
      <w:suff w:val="tab"/>
    </w:lvl>
    <w:lvl w:ilvl="3">
      <w:isLgl w:val="false"/>
      <w:lvlJc w:val="left"/>
      <w:lvlText w:val=""/>
      <w:numFmt w:val="bullet"/>
      <w:pPr>
        <w:pBdr/>
        <w:tabs>
          <w:tab w:val="num" w:leader="none" w:pos="2580"/>
        </w:tabs>
        <w:spacing/>
        <w:ind w:hanging="360" w:left="2580"/>
      </w:pPr>
      <w:rPr>
        <w:rFonts w:hint="default" w:ascii="Symbol" w:hAnsi="Symbol"/>
      </w:rPr>
      <w:start w:val="1"/>
      <w:suff w:val="tab"/>
    </w:lvl>
    <w:lvl w:ilvl="4">
      <w:isLgl w:val="false"/>
      <w:lvlJc w:val="left"/>
      <w:lvlText w:val="o"/>
      <w:numFmt w:val="bullet"/>
      <w:pPr>
        <w:pBdr/>
        <w:tabs>
          <w:tab w:val="num" w:leader="none" w:pos="3300"/>
        </w:tabs>
        <w:spacing/>
        <w:ind w:hanging="360" w:left="3300"/>
      </w:pPr>
      <w:rPr>
        <w:rFonts w:hint="default" w:ascii="Courier New" w:hAnsi="Courier New"/>
      </w:rPr>
      <w:start w:val="1"/>
      <w:suff w:val="tab"/>
    </w:lvl>
    <w:lvl w:ilvl="5">
      <w:isLgl w:val="false"/>
      <w:lvlJc w:val="left"/>
      <w:lvlText w:val=""/>
      <w:numFmt w:val="bullet"/>
      <w:pPr>
        <w:pBdr/>
        <w:tabs>
          <w:tab w:val="num" w:leader="none" w:pos="4020"/>
        </w:tabs>
        <w:spacing/>
        <w:ind w:hanging="360" w:left="4020"/>
      </w:pPr>
      <w:rPr>
        <w:rFonts w:hint="default" w:ascii="Wingdings" w:hAnsi="Wingdings"/>
      </w:rPr>
      <w:start w:val="1"/>
      <w:suff w:val="tab"/>
    </w:lvl>
    <w:lvl w:ilvl="6">
      <w:isLgl w:val="false"/>
      <w:lvlJc w:val="left"/>
      <w:lvlText w:val=""/>
      <w:numFmt w:val="bullet"/>
      <w:pPr>
        <w:pBdr/>
        <w:tabs>
          <w:tab w:val="num" w:leader="none" w:pos="4740"/>
        </w:tabs>
        <w:spacing/>
        <w:ind w:hanging="360" w:left="4740"/>
      </w:pPr>
      <w:rPr>
        <w:rFonts w:hint="default" w:ascii="Symbol" w:hAnsi="Symbol"/>
      </w:rPr>
      <w:start w:val="1"/>
      <w:suff w:val="tab"/>
    </w:lvl>
    <w:lvl w:ilvl="7">
      <w:isLgl w:val="false"/>
      <w:lvlJc w:val="left"/>
      <w:lvlText w:val="o"/>
      <w:numFmt w:val="bullet"/>
      <w:pPr>
        <w:pBdr/>
        <w:tabs>
          <w:tab w:val="num" w:leader="none" w:pos="5460"/>
        </w:tabs>
        <w:spacing/>
        <w:ind w:hanging="360" w:left="5460"/>
      </w:pPr>
      <w:rPr>
        <w:rFonts w:hint="default" w:ascii="Courier New" w:hAnsi="Courier New"/>
      </w:rPr>
      <w:start w:val="1"/>
      <w:suff w:val="tab"/>
    </w:lvl>
    <w:lvl w:ilvl="8">
      <w:isLgl w:val="false"/>
      <w:lvlJc w:val="left"/>
      <w:lvlText w:val=""/>
      <w:numFmt w:val="bullet"/>
      <w:pPr>
        <w:pBdr/>
        <w:tabs>
          <w:tab w:val="num" w:leader="none" w:pos="6180"/>
        </w:tabs>
        <w:spacing/>
        <w:ind w:hanging="360" w:left="6180"/>
      </w:pPr>
      <w:rPr>
        <w:rFonts w:hint="default" w:ascii="Wingdings" w:hAnsi="Wingdings"/>
      </w:rPr>
      <w:start w:val="1"/>
      <w:suff w:val="tab"/>
    </w:lvl>
  </w:abstractNum>
  <w:abstractNum w:abstractNumId="9">
    <w:lvl w:ilvl="0">
      <w:isLgl w:val="false"/>
      <w:legacy w:legacy="true" w:legacyIndent="735" w:legacySpace="0"/>
      <w:lvlJc w:val="left"/>
      <w:lvlText w:val="2.%1"/>
      <w:numFmt w:val="decimal"/>
      <w:pPr>
        <w:pBdr/>
        <w:spacing/>
        <w:ind/>
      </w:pPr>
      <w:rPr>
        <w:rFonts w:hint="default" w:ascii="Times New Roman" w:hAnsi="Times New Roman" w:cs="Times New Roman"/>
      </w:rPr>
      <w:start w:val="5"/>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0">
    <w:lvl w:ilvl="0">
      <w:isLgl w:val="false"/>
      <w:legacy w:legacy="true" w:legacyIndent="735" w:legacySpace="0"/>
      <w:lvlJc w:val="left"/>
      <w:lvlText w:val="2.%1"/>
      <w:numFmt w:val="decimal"/>
      <w:pPr>
        <w:pBdr/>
        <w:spacing/>
        <w:ind/>
      </w:pPr>
      <w:rPr>
        <w:rFonts w:hint="default" w:ascii="Times New Roman" w:hAnsi="Times New Roman" w:cs="Times New Roman"/>
        <w:b/>
      </w:rPr>
      <w:start w:val="3"/>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1">
    <w:lvl w:ilvl="0">
      <w:isLgl w:val="false"/>
      <w:legacy w:legacy="true" w:legacyIndent="706" w:legacySpace="0"/>
      <w:lvlJc w:val="left"/>
      <w:lvlText w:val="1.%1"/>
      <w:numFmt w:val="decimal"/>
      <w:pPr>
        <w:pBdr/>
        <w:spacing/>
        <w:ind/>
      </w:pPr>
      <w:rPr>
        <w:rFonts w:hint="default" w:ascii="Times New Roman" w:hAnsi="Times New Roman" w:cs="Times New Roman"/>
      </w:rPr>
      <w:start w:val="4"/>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2">
    <w:lvl w:ilvl="0">
      <w:isLgl w:val="false"/>
      <w:legacy w:legacy="true" w:legacyIndent="725" w:legacySpace="0"/>
      <w:lvlJc w:val="left"/>
      <w:lvlText w:val="4.%1"/>
      <w:numFmt w:val="decimal"/>
      <w:pPr>
        <w:pBdr/>
        <w:spacing/>
        <w:ind/>
      </w:pPr>
      <w:rPr>
        <w:rFonts w:hint="default" w:ascii="Times New Roman" w:hAnsi="Times New Roman" w:cs="Times New Roman"/>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3">
    <w:lvl w:ilvl="0">
      <w:isLgl w:val="false"/>
      <w:lvlJc w:val="left"/>
      <w:lvlText w:val=""/>
      <w:numFmt w:val="bullet"/>
      <w:pPr>
        <w:pBdr/>
        <w:spacing/>
        <w:ind w:hanging="360" w:left="720"/>
      </w:pPr>
      <w:rPr>
        <w:rFonts w:hint="default" w:ascii="Symbol" w:hAnsi="Symbol"/>
      </w:rPr>
      <w:start w:val="1"/>
      <w:suff w:val="tab"/>
    </w:lvl>
    <w:lvl w:ilvl="1">
      <w:isLgl w:val="false"/>
      <w:lvlJc w:val="left"/>
      <w:lvlText w:val=""/>
      <w:numFmt w:val="bullet"/>
      <w:pPr>
        <w:pBdr/>
        <w:spacing/>
        <w:ind w:hanging="360" w:left="1440"/>
      </w:pPr>
      <w:rPr>
        <w:rFonts w:hint="default" w:ascii="Symbol" w:hAnsi="Symbol"/>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lvl w:ilvl="0">
      <w:isLgl w:val="false"/>
      <w:lvlJc w:val="left"/>
      <w:lvlText w:val="%1."/>
      <w:numFmt w:val="decimal"/>
      <w:pPr>
        <w:pBdr/>
        <w:spacing/>
        <w:ind w:hanging="360" w:left="725"/>
      </w:pPr>
      <w:rPr>
        <w:rFonts w:cs="Times New Roman"/>
      </w:rPr>
      <w:start w:val="1"/>
      <w:suff w:val="tab"/>
    </w:lvl>
    <w:lvl w:ilvl="1">
      <w:isLgl w:val="false"/>
      <w:lvlJc w:val="left"/>
      <w:lvlText w:val="%2."/>
      <w:numFmt w:val="lowerLetter"/>
      <w:pPr>
        <w:pBdr/>
        <w:spacing/>
        <w:ind w:hanging="360" w:left="1445"/>
      </w:pPr>
      <w:rPr>
        <w:rFonts w:cs="Times New Roman"/>
      </w:rPr>
      <w:start w:val="1"/>
      <w:suff w:val="tab"/>
    </w:lvl>
    <w:lvl w:ilvl="2">
      <w:isLgl w:val="false"/>
      <w:lvlJc w:val="right"/>
      <w:lvlText w:val="%3."/>
      <w:numFmt w:val="lowerRoman"/>
      <w:pPr>
        <w:pBdr/>
        <w:spacing/>
        <w:ind w:hanging="180" w:left="2165"/>
      </w:pPr>
      <w:rPr>
        <w:rFonts w:cs="Times New Roman"/>
      </w:rPr>
      <w:start w:val="1"/>
      <w:suff w:val="tab"/>
    </w:lvl>
    <w:lvl w:ilvl="3">
      <w:isLgl w:val="false"/>
      <w:lvlJc w:val="left"/>
      <w:lvlText w:val="%4."/>
      <w:numFmt w:val="decimal"/>
      <w:pPr>
        <w:pBdr/>
        <w:spacing/>
        <w:ind w:hanging="360" w:left="2885"/>
      </w:pPr>
      <w:rPr>
        <w:rFonts w:cs="Times New Roman"/>
      </w:rPr>
      <w:start w:val="1"/>
      <w:suff w:val="tab"/>
    </w:lvl>
    <w:lvl w:ilvl="4">
      <w:isLgl w:val="false"/>
      <w:lvlJc w:val="left"/>
      <w:lvlText w:val="%5."/>
      <w:numFmt w:val="lowerLetter"/>
      <w:pPr>
        <w:pBdr/>
        <w:spacing/>
        <w:ind w:hanging="360" w:left="3605"/>
      </w:pPr>
      <w:rPr>
        <w:rFonts w:cs="Times New Roman"/>
      </w:rPr>
      <w:start w:val="1"/>
      <w:suff w:val="tab"/>
    </w:lvl>
    <w:lvl w:ilvl="5">
      <w:isLgl w:val="false"/>
      <w:lvlJc w:val="right"/>
      <w:lvlText w:val="%6."/>
      <w:numFmt w:val="lowerRoman"/>
      <w:pPr>
        <w:pBdr/>
        <w:spacing/>
        <w:ind w:hanging="180" w:left="4325"/>
      </w:pPr>
      <w:rPr>
        <w:rFonts w:cs="Times New Roman"/>
      </w:rPr>
      <w:start w:val="1"/>
      <w:suff w:val="tab"/>
    </w:lvl>
    <w:lvl w:ilvl="6">
      <w:isLgl w:val="false"/>
      <w:lvlJc w:val="left"/>
      <w:lvlText w:val="%7."/>
      <w:numFmt w:val="decimal"/>
      <w:pPr>
        <w:pBdr/>
        <w:spacing/>
        <w:ind w:hanging="360" w:left="5045"/>
      </w:pPr>
      <w:rPr>
        <w:rFonts w:cs="Times New Roman"/>
      </w:rPr>
      <w:start w:val="1"/>
      <w:suff w:val="tab"/>
    </w:lvl>
    <w:lvl w:ilvl="7">
      <w:isLgl w:val="false"/>
      <w:lvlJc w:val="left"/>
      <w:lvlText w:val="%8."/>
      <w:numFmt w:val="lowerLetter"/>
      <w:pPr>
        <w:pBdr/>
        <w:spacing/>
        <w:ind w:hanging="360" w:left="5765"/>
      </w:pPr>
      <w:rPr>
        <w:rFonts w:cs="Times New Roman"/>
      </w:rPr>
      <w:start w:val="1"/>
      <w:suff w:val="tab"/>
    </w:lvl>
    <w:lvl w:ilvl="8">
      <w:isLgl w:val="false"/>
      <w:lvlJc w:val="right"/>
      <w:lvlText w:val="%9."/>
      <w:numFmt w:val="lowerRoman"/>
      <w:pPr>
        <w:pBdr/>
        <w:spacing/>
        <w:ind w:hanging="180" w:left="6485"/>
      </w:pPr>
      <w:rPr>
        <w:rFonts w:cs="Times New Roman"/>
      </w:rPr>
      <w:start w:val="1"/>
      <w:suff w:val="tab"/>
    </w:lvl>
  </w:abstractNum>
  <w:abstractNum w:abstractNumId="15">
    <w:lvl w:ilvl="0">
      <w:isLgl w:val="false"/>
      <w:lvlJc w:val="left"/>
      <w:lvlText w:val=""/>
      <w:numFmt w:val="bullet"/>
      <w:pPr>
        <w:pBdr/>
        <w:spacing/>
        <w:ind w:hanging="570" w:left="575"/>
      </w:pPr>
      <w:rPr>
        <w:rFonts w:hint="default" w:ascii="Symbol" w:hAnsi="Symbol"/>
      </w:rPr>
      <w:start w:val="1"/>
      <w:suff w:val="tab"/>
    </w:lvl>
    <w:lvl w:ilvl="1">
      <w:isLgl w:val="true"/>
      <w:lvlJc w:val="left"/>
      <w:lvlText w:val="%1.%2"/>
      <w:numFmt w:val="decimal"/>
      <w:pPr>
        <w:pBdr/>
        <w:spacing/>
        <w:ind w:hanging="360" w:left="365"/>
      </w:pPr>
      <w:rPr>
        <w:rFonts w:hint="default" w:cs="Times New Roman"/>
        <w:b/>
      </w:rPr>
      <w:start w:val="1"/>
      <w:suff w:val="tab"/>
    </w:lvl>
    <w:lvl w:ilvl="2">
      <w:isLgl w:val="false"/>
      <w:lvlJc w:val="left"/>
      <w:lvlText w:val=""/>
      <w:numFmt w:val="bullet"/>
      <w:pPr>
        <w:pBdr/>
        <w:spacing/>
        <w:ind w:hanging="720" w:left="725"/>
      </w:pPr>
      <w:rPr>
        <w:rFonts w:hint="default" w:ascii="Symbol" w:hAnsi="Symbol"/>
        <w:b/>
      </w:rPr>
      <w:start w:val="1"/>
      <w:suff w:val="tab"/>
    </w:lvl>
    <w:lvl w:ilvl="3">
      <w:isLgl w:val="true"/>
      <w:lvlJc w:val="left"/>
      <w:lvlText w:val="%1.%2.%3.%4"/>
      <w:numFmt w:val="decimal"/>
      <w:pPr>
        <w:pBdr/>
        <w:spacing/>
        <w:ind w:hanging="720" w:left="725"/>
      </w:pPr>
      <w:rPr>
        <w:rFonts w:hint="default" w:cs="Times New Roman"/>
      </w:rPr>
      <w:start w:val="1"/>
      <w:suff w:val="tab"/>
    </w:lvl>
    <w:lvl w:ilvl="4">
      <w:isLgl w:val="true"/>
      <w:lvlJc w:val="left"/>
      <w:lvlText w:val="%1.%2.%3.%4.%5"/>
      <w:numFmt w:val="decimal"/>
      <w:pPr>
        <w:pBdr/>
        <w:spacing/>
        <w:ind w:hanging="1080" w:left="1085"/>
      </w:pPr>
      <w:rPr>
        <w:rFonts w:hint="default" w:cs="Times New Roman"/>
      </w:rPr>
      <w:start w:val="1"/>
      <w:suff w:val="tab"/>
    </w:lvl>
    <w:lvl w:ilvl="5">
      <w:isLgl w:val="true"/>
      <w:lvlJc w:val="left"/>
      <w:lvlText w:val="%1.%2.%3.%4.%5.%6"/>
      <w:numFmt w:val="decimal"/>
      <w:pPr>
        <w:pBdr/>
        <w:spacing/>
        <w:ind w:hanging="1080" w:left="1085"/>
      </w:pPr>
      <w:rPr>
        <w:rFonts w:hint="default" w:cs="Times New Roman"/>
      </w:rPr>
      <w:start w:val="1"/>
      <w:suff w:val="tab"/>
    </w:lvl>
    <w:lvl w:ilvl="6">
      <w:isLgl w:val="true"/>
      <w:lvlJc w:val="left"/>
      <w:lvlText w:val="%1.%2.%3.%4.%5.%6.%7"/>
      <w:numFmt w:val="decimal"/>
      <w:pPr>
        <w:pBdr/>
        <w:spacing/>
        <w:ind w:hanging="1440" w:left="1445"/>
      </w:pPr>
      <w:rPr>
        <w:rFonts w:hint="default" w:cs="Times New Roman"/>
      </w:rPr>
      <w:start w:val="1"/>
      <w:suff w:val="tab"/>
    </w:lvl>
    <w:lvl w:ilvl="7">
      <w:isLgl w:val="true"/>
      <w:lvlJc w:val="left"/>
      <w:lvlText w:val="%1.%2.%3.%4.%5.%6.%7.%8"/>
      <w:numFmt w:val="decimal"/>
      <w:pPr>
        <w:pBdr/>
        <w:spacing/>
        <w:ind w:hanging="1440" w:left="1445"/>
      </w:pPr>
      <w:rPr>
        <w:rFonts w:hint="default" w:cs="Times New Roman"/>
      </w:rPr>
      <w:start w:val="1"/>
      <w:suff w:val="tab"/>
    </w:lvl>
    <w:lvl w:ilvl="8">
      <w:isLgl w:val="true"/>
      <w:lvlJc w:val="left"/>
      <w:lvlText w:val="%1.%2.%3.%4.%5.%6.%7.%8.%9"/>
      <w:numFmt w:val="decimal"/>
      <w:pPr>
        <w:pBdr/>
        <w:spacing/>
        <w:ind w:hanging="1440" w:left="1445"/>
      </w:pPr>
      <w:rPr>
        <w:rFonts w:hint="default" w:cs="Times New Roman"/>
      </w:rPr>
      <w:start w:val="1"/>
      <w:suff w:val="tab"/>
    </w:lvl>
  </w:abstractNum>
  <w:abstractNum w:abstractNumId="16">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lvl w:ilvl="0">
      <w:isLgl w:val="false"/>
      <w:legacy w:legacy="true" w:legacyIndent="701" w:legacySpace="0"/>
      <w:lvlJc w:val="left"/>
      <w:lvlText w:val="1.2.%1"/>
      <w:numFmt w:val="decimal"/>
      <w:pPr>
        <w:pBdr/>
        <w:spacing/>
        <w:ind/>
      </w:pPr>
      <w:rPr>
        <w:rFonts w:hint="default" w:ascii="Times New Roman" w:hAnsi="Times New Roman" w:cs="Times New Roman"/>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8">
    <w:lvl w:ilvl="0">
      <w:isLgl w:val="false"/>
      <w:legacy w:legacy="true" w:legacyIndent="706" w:legacySpace="0"/>
      <w:lvlJc w:val="left"/>
      <w:lvlText w:val="1.%1"/>
      <w:numFmt w:val="decimal"/>
      <w:pPr>
        <w:pBdr/>
        <w:spacing/>
        <w:ind/>
      </w:pPr>
      <w:rPr>
        <w:rFonts w:hint="default" w:ascii="Times New Roman" w:hAnsi="Times New Roman" w:cs="Times New Roman"/>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9">
    <w:lvl w:ilvl="0">
      <w:isLgl w:val="false"/>
      <w:lvlJc w:val="left"/>
      <w:lvlText w:val=""/>
      <w:numFmt w:val="bullet"/>
      <w:pPr>
        <w:pBdr/>
        <w:tabs>
          <w:tab w:val="num" w:leader="none" w:pos="360"/>
        </w:tabs>
        <w:spacing/>
        <w:ind w:hanging="284" w:left="284"/>
      </w:pPr>
      <w:rPr>
        <w:rFonts w:hint="default" w:ascii="Wingdings" w:hAnsi="Wingdings"/>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0">
    <w:lvl w:ilvl="0">
      <w:isLgl w:val="false"/>
      <w:lvlJc w:val="left"/>
      <w:lvlText w:val="%1."/>
      <w:numFmt w:val="decimal"/>
      <w:pPr>
        <w:pBdr/>
        <w:tabs>
          <w:tab w:val="num" w:leader="none" w:pos="709"/>
        </w:tabs>
        <w:spacing/>
        <w:ind w:hanging="709" w:left="709"/>
      </w:pPr>
      <w:pStyle w:val="822"/>
      <w:rPr>
        <w:rFonts w:hint="default" w:cs="Times New Roman"/>
      </w:rPr>
      <w:start w:val="1"/>
      <w:suff w:val="tab"/>
    </w:lvl>
    <w:lvl w:ilvl="1">
      <w:isLgl w:val="false"/>
      <w:lvlJc w:val="left"/>
      <w:lvlText w:val="%2."/>
      <w:numFmt w:val="decimal"/>
      <w:pPr>
        <w:pBdr/>
        <w:tabs>
          <w:tab w:val="num" w:leader="none" w:pos="1418"/>
        </w:tabs>
        <w:spacing/>
        <w:ind w:hanging="709" w:left="1418"/>
      </w:pPr>
      <w:pStyle w:val="824"/>
      <w:rPr>
        <w:rFonts w:hint="default" w:cs="Times New Roman"/>
      </w:rPr>
      <w:start w:val="1"/>
      <w:suff w:val="tab"/>
    </w:lvl>
    <w:lvl w:ilvl="2">
      <w:isLgl w:val="false"/>
      <w:lvlJc w:val="left"/>
      <w:lvlText w:val="%3."/>
      <w:numFmt w:val="decimal"/>
      <w:pPr>
        <w:pBdr/>
        <w:tabs>
          <w:tab w:val="num" w:leader="none" w:pos="2126"/>
        </w:tabs>
        <w:spacing/>
        <w:ind w:hanging="708" w:left="2126"/>
      </w:pPr>
      <w:pStyle w:val="825"/>
      <w:rPr>
        <w:rFonts w:hint="default" w:cs="Times New Roman"/>
      </w:rPr>
      <w:start w:val="1"/>
      <w:suff w:val="tab"/>
    </w:lvl>
    <w:lvl w:ilvl="3">
      <w:isLgl w:val="false"/>
      <w:lvlJc w:val="left"/>
      <w:lvlText w:val="%4."/>
      <w:numFmt w:val="decimal"/>
      <w:pPr>
        <w:pBdr/>
        <w:tabs>
          <w:tab w:val="num" w:leader="none" w:pos="0"/>
        </w:tabs>
        <w:spacing/>
        <w:ind w:hanging="360" w:left="2880"/>
      </w:pPr>
      <w:rPr>
        <w:rFonts w:hint="default" w:cs="Times New Roman"/>
      </w:rPr>
      <w:start w:val="1"/>
      <w:suff w:val="tab"/>
    </w:lvl>
    <w:lvl w:ilvl="4">
      <w:isLgl w:val="false"/>
      <w:lvlJc w:val="left"/>
      <w:lvlText w:val="%5."/>
      <w:numFmt w:val="lowerLetter"/>
      <w:pPr>
        <w:pBdr/>
        <w:tabs>
          <w:tab w:val="num" w:leader="none" w:pos="0"/>
        </w:tabs>
        <w:spacing/>
        <w:ind w:hanging="360" w:left="3600"/>
      </w:pPr>
      <w:rPr>
        <w:rFonts w:hint="default" w:cs="Times New Roman"/>
      </w:rPr>
      <w:start w:val="1"/>
      <w:suff w:val="tab"/>
    </w:lvl>
    <w:lvl w:ilvl="5">
      <w:isLgl w:val="false"/>
      <w:lvlJc w:val="right"/>
      <w:lvlText w:val="%6."/>
      <w:numFmt w:val="lowerRoman"/>
      <w:pPr>
        <w:pBdr/>
        <w:tabs>
          <w:tab w:val="num" w:leader="none" w:pos="0"/>
        </w:tabs>
        <w:spacing/>
        <w:ind w:hanging="180" w:left="4320"/>
      </w:pPr>
      <w:rPr>
        <w:rFonts w:hint="default" w:cs="Times New Roman"/>
      </w:rPr>
      <w:start w:val="1"/>
      <w:suff w:val="tab"/>
    </w:lvl>
    <w:lvl w:ilvl="6">
      <w:isLgl w:val="false"/>
      <w:lvlJc w:val="left"/>
      <w:lvlText w:val="%7."/>
      <w:numFmt w:val="decimal"/>
      <w:pPr>
        <w:pBdr/>
        <w:tabs>
          <w:tab w:val="num" w:leader="none" w:pos="0"/>
        </w:tabs>
        <w:spacing/>
        <w:ind w:hanging="360" w:left="5040"/>
      </w:pPr>
      <w:rPr>
        <w:rFonts w:hint="default" w:cs="Times New Roman"/>
      </w:rPr>
      <w:start w:val="1"/>
      <w:suff w:val="tab"/>
    </w:lvl>
    <w:lvl w:ilvl="7">
      <w:isLgl w:val="false"/>
      <w:lvlJc w:val="left"/>
      <w:lvlText w:val="%8."/>
      <w:numFmt w:val="lowerLetter"/>
      <w:pPr>
        <w:pBdr/>
        <w:tabs>
          <w:tab w:val="num" w:leader="none" w:pos="0"/>
        </w:tabs>
        <w:spacing/>
        <w:ind w:hanging="360" w:left="5760"/>
      </w:pPr>
      <w:rPr>
        <w:rFonts w:hint="default" w:cs="Times New Roman"/>
      </w:rPr>
      <w:start w:val="1"/>
      <w:suff w:val="tab"/>
    </w:lvl>
    <w:lvl w:ilvl="8">
      <w:isLgl w:val="false"/>
      <w:lvlJc w:val="right"/>
      <w:lvlText w:val="%9."/>
      <w:numFmt w:val="lowerRoman"/>
      <w:pPr>
        <w:pBdr/>
        <w:tabs>
          <w:tab w:val="num" w:leader="none" w:pos="0"/>
        </w:tabs>
        <w:spacing/>
        <w:ind w:hanging="180" w:left="6480"/>
      </w:pPr>
      <w:rPr>
        <w:rFonts w:hint="default" w:cs="Times New Roman"/>
      </w:rPr>
      <w:start w:val="1"/>
      <w:suff w:val="tab"/>
    </w:lvl>
  </w:abstractNum>
  <w:abstractNum w:abstractNumId="21">
    <w:lvl w:ilvl="0">
      <w:isLgl w:val="false"/>
      <w:legacy w:legacy="true" w:legacyIndent="735" w:legacySpace="0"/>
      <w:lvlJc w:val="left"/>
      <w:lvlText w:val="2.%1"/>
      <w:numFmt w:val="decimal"/>
      <w:pPr>
        <w:pBdr/>
        <w:spacing/>
        <w:ind/>
      </w:pPr>
      <w:rPr>
        <w:rFonts w:hint="default" w:ascii="Times New Roman" w:hAnsi="Times New Roman" w:cs="Times New Roman"/>
      </w:rPr>
      <w:start w:val="4"/>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num w:numId="1">
    <w:abstractNumId w:val="18"/>
  </w:num>
  <w:num w:numId="2">
    <w:abstractNumId w:val="17"/>
  </w:num>
  <w:num w:numId="3">
    <w:abstractNumId w:val="5"/>
  </w:num>
  <w:num w:numId="4">
    <w:abstractNumId w:val="11"/>
  </w:num>
  <w:num w:numId="5">
    <w:abstractNumId w:val="0"/>
    <w:lvlOverride w:ilvl="0">
      <w:lvl w:ilvl="0">
        <w:isLgl w:val="false"/>
        <w:legacy w:legacy="true" w:legacyIndent="739" w:legacySpace="0"/>
        <w:lvlJc w:val="left"/>
        <w:lvlText w:val="-"/>
        <w:numFmt w:val="bullet"/>
        <w:pPr>
          <w:pBdr/>
          <w:spacing/>
          <w:ind/>
        </w:pPr>
        <w:rPr>
          <w:rFonts w:hint="default" w:ascii="Times New Roman" w:hAnsi="Times New Roman"/>
        </w:rPr>
        <w:start w:val="0"/>
        <w:suff w:val="tab"/>
      </w:lvl>
    </w:lvlOverride>
  </w:num>
  <w:num w:numId="6">
    <w:abstractNumId w:val="3"/>
  </w:num>
  <w:num w:numId="7">
    <w:abstractNumId w:val="10"/>
  </w:num>
  <w:num w:numId="8">
    <w:abstractNumId w:val="21"/>
  </w:num>
  <w:num w:numId="9">
    <w:abstractNumId w:val="9"/>
  </w:num>
  <w:num w:numId="10">
    <w:abstractNumId w:val="12"/>
  </w:num>
  <w:num w:numId="11">
    <w:abstractNumId w:val="0"/>
    <w:lvlOverride w:ilvl="0">
      <w:lvl w:ilvl="0">
        <w:isLgl w:val="false"/>
        <w:legacy w:legacy="true" w:legacyIndent="730" w:legacySpace="0"/>
        <w:lvlJc w:val="left"/>
        <w:lvlText w:val="-"/>
        <w:numFmt w:val="bullet"/>
        <w:pPr>
          <w:pBdr/>
          <w:spacing/>
          <w:ind/>
        </w:pPr>
        <w:rPr>
          <w:rFonts w:hint="default" w:ascii="Times New Roman" w:hAnsi="Times New Roman"/>
        </w:rPr>
        <w:start w:val="0"/>
        <w:suff w:val="tab"/>
      </w:lvl>
    </w:lvlOverride>
  </w:num>
  <w:num w:numId="12">
    <w:abstractNumId w:val="14"/>
  </w:num>
  <w:num w:numId="13">
    <w:abstractNumId w:val="4"/>
  </w:num>
  <w:num w:numId="14">
    <w:abstractNumId w:val="7"/>
  </w:num>
  <w:num w:numId="15">
    <w:abstractNumId w:val="13"/>
  </w:num>
  <w:num w:numId="16">
    <w:abstractNumId w:val="19"/>
  </w:num>
  <w:num w:numId="17">
    <w:abstractNumId w:val="8"/>
  </w:num>
  <w:num w:numId="18">
    <w:abstractNumId w:val="2"/>
  </w:num>
  <w:num w:numId="19">
    <w:abstractNumId w:val="1"/>
  </w:num>
  <w:num w:numId="20">
    <w:abstractNumId w:val="16"/>
  </w:num>
  <w:num w:numId="21">
    <w:abstractNumId w:val="15"/>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lang w:val="de-CH" w:eastAsia="de-CH" w:bidi="de-CH"/>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77"/>
    <w:link w:val="775"/>
    <w:uiPriority w:val="9"/>
    <w:pPr>
      <w:pBdr/>
      <w:spacing/>
      <w:ind/>
    </w:pPr>
    <w:rPr>
      <w:rFonts w:ascii="Arial" w:hAnsi="Arial" w:eastAsia="Arial" w:cs="Arial"/>
      <w:sz w:val="40"/>
      <w:szCs w:val="40"/>
    </w:rPr>
  </w:style>
  <w:style w:type="character" w:styleId="16">
    <w:name w:val="Heading 2 Char"/>
    <w:basedOn w:val="777"/>
    <w:link w:val="776"/>
    <w:uiPriority w:val="9"/>
    <w:pPr>
      <w:pBdr/>
      <w:spacing/>
      <w:ind/>
    </w:pPr>
    <w:rPr>
      <w:rFonts w:ascii="Arial" w:hAnsi="Arial" w:eastAsia="Arial" w:cs="Arial"/>
      <w:sz w:val="34"/>
    </w:rPr>
  </w:style>
  <w:style w:type="paragraph" w:styleId="17">
    <w:name w:val="Heading 3"/>
    <w:basedOn w:val="774"/>
    <w:next w:val="774"/>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777"/>
    <w:link w:val="17"/>
    <w:uiPriority w:val="9"/>
    <w:pPr>
      <w:pBdr/>
      <w:spacing/>
      <w:ind/>
    </w:pPr>
    <w:rPr>
      <w:rFonts w:ascii="Arial" w:hAnsi="Arial" w:eastAsia="Arial" w:cs="Arial"/>
      <w:sz w:val="30"/>
      <w:szCs w:val="30"/>
    </w:rPr>
  </w:style>
  <w:style w:type="paragraph" w:styleId="19">
    <w:name w:val="Heading 4"/>
    <w:basedOn w:val="774"/>
    <w:next w:val="774"/>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777"/>
    <w:link w:val="19"/>
    <w:uiPriority w:val="9"/>
    <w:pPr>
      <w:pBdr/>
      <w:spacing/>
      <w:ind/>
    </w:pPr>
    <w:rPr>
      <w:rFonts w:ascii="Arial" w:hAnsi="Arial" w:eastAsia="Arial" w:cs="Arial"/>
      <w:b/>
      <w:bCs/>
      <w:sz w:val="26"/>
      <w:szCs w:val="26"/>
    </w:rPr>
  </w:style>
  <w:style w:type="paragraph" w:styleId="21">
    <w:name w:val="Heading 5"/>
    <w:basedOn w:val="774"/>
    <w:next w:val="774"/>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777"/>
    <w:link w:val="21"/>
    <w:uiPriority w:val="9"/>
    <w:pPr>
      <w:pBdr/>
      <w:spacing/>
      <w:ind/>
    </w:pPr>
    <w:rPr>
      <w:rFonts w:ascii="Arial" w:hAnsi="Arial" w:eastAsia="Arial" w:cs="Arial"/>
      <w:b/>
      <w:bCs/>
      <w:sz w:val="24"/>
      <w:szCs w:val="24"/>
    </w:rPr>
  </w:style>
  <w:style w:type="paragraph" w:styleId="23">
    <w:name w:val="Heading 6"/>
    <w:basedOn w:val="774"/>
    <w:next w:val="774"/>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777"/>
    <w:link w:val="23"/>
    <w:uiPriority w:val="9"/>
    <w:pPr>
      <w:pBdr/>
      <w:spacing/>
      <w:ind/>
    </w:pPr>
    <w:rPr>
      <w:rFonts w:ascii="Arial" w:hAnsi="Arial" w:eastAsia="Arial" w:cs="Arial"/>
      <w:b/>
      <w:bCs/>
      <w:sz w:val="22"/>
      <w:szCs w:val="22"/>
    </w:rPr>
  </w:style>
  <w:style w:type="paragraph" w:styleId="25">
    <w:name w:val="Heading 7"/>
    <w:basedOn w:val="774"/>
    <w:next w:val="774"/>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777"/>
    <w:link w:val="25"/>
    <w:uiPriority w:val="9"/>
    <w:pPr>
      <w:pBdr/>
      <w:spacing/>
      <w:ind/>
    </w:pPr>
    <w:rPr>
      <w:rFonts w:ascii="Arial" w:hAnsi="Arial" w:eastAsia="Arial" w:cs="Arial"/>
      <w:b/>
      <w:bCs/>
      <w:i/>
      <w:iCs/>
      <w:sz w:val="22"/>
      <w:szCs w:val="22"/>
    </w:rPr>
  </w:style>
  <w:style w:type="paragraph" w:styleId="27">
    <w:name w:val="Heading 8"/>
    <w:basedOn w:val="774"/>
    <w:next w:val="774"/>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777"/>
    <w:link w:val="27"/>
    <w:uiPriority w:val="9"/>
    <w:pPr>
      <w:pBdr/>
      <w:spacing/>
      <w:ind/>
    </w:pPr>
    <w:rPr>
      <w:rFonts w:ascii="Arial" w:hAnsi="Arial" w:eastAsia="Arial" w:cs="Arial"/>
      <w:i/>
      <w:iCs/>
      <w:sz w:val="22"/>
      <w:szCs w:val="22"/>
    </w:rPr>
  </w:style>
  <w:style w:type="paragraph" w:styleId="29">
    <w:name w:val="Heading 9"/>
    <w:basedOn w:val="774"/>
    <w:next w:val="774"/>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777"/>
    <w:link w:val="29"/>
    <w:uiPriority w:val="9"/>
    <w:pPr>
      <w:pBdr/>
      <w:spacing/>
      <w:ind/>
    </w:pPr>
    <w:rPr>
      <w:rFonts w:ascii="Arial" w:hAnsi="Arial" w:eastAsia="Arial" w:cs="Arial"/>
      <w:i/>
      <w:iCs/>
      <w:sz w:val="21"/>
      <w:szCs w:val="21"/>
    </w:rPr>
  </w:style>
  <w:style w:type="paragraph" w:styleId="31">
    <w:name w:val="List Paragraph"/>
    <w:basedOn w:val="774"/>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774"/>
    <w:next w:val="774"/>
    <w:link w:val="35"/>
    <w:uiPriority w:val="10"/>
    <w:qFormat/>
    <w:pPr>
      <w:pBdr/>
      <w:spacing w:after="200" w:before="300"/>
      <w:ind/>
      <w:contextualSpacing w:val="true"/>
    </w:pPr>
    <w:rPr>
      <w:sz w:val="48"/>
      <w:szCs w:val="48"/>
    </w:rPr>
  </w:style>
  <w:style w:type="character" w:styleId="35">
    <w:name w:val="Title Char"/>
    <w:basedOn w:val="777"/>
    <w:link w:val="34"/>
    <w:uiPriority w:val="10"/>
    <w:pPr>
      <w:pBdr/>
      <w:spacing/>
      <w:ind/>
    </w:pPr>
    <w:rPr>
      <w:sz w:val="48"/>
      <w:szCs w:val="48"/>
    </w:rPr>
  </w:style>
  <w:style w:type="paragraph" w:styleId="36">
    <w:name w:val="Subtitle"/>
    <w:basedOn w:val="774"/>
    <w:next w:val="774"/>
    <w:link w:val="37"/>
    <w:uiPriority w:val="11"/>
    <w:qFormat/>
    <w:pPr>
      <w:pBdr/>
      <w:spacing w:after="200" w:before="200"/>
      <w:ind/>
    </w:pPr>
    <w:rPr>
      <w:sz w:val="24"/>
      <w:szCs w:val="24"/>
    </w:rPr>
  </w:style>
  <w:style w:type="character" w:styleId="37">
    <w:name w:val="Subtitle Char"/>
    <w:basedOn w:val="777"/>
    <w:link w:val="36"/>
    <w:uiPriority w:val="11"/>
    <w:pPr>
      <w:pBdr/>
      <w:spacing/>
      <w:ind/>
    </w:pPr>
    <w:rPr>
      <w:sz w:val="24"/>
      <w:szCs w:val="24"/>
    </w:rPr>
  </w:style>
  <w:style w:type="paragraph" w:styleId="38">
    <w:name w:val="Quote"/>
    <w:basedOn w:val="774"/>
    <w:next w:val="774"/>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74"/>
    <w:next w:val="774"/>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77"/>
    <w:link w:val="816"/>
    <w:uiPriority w:val="99"/>
    <w:pPr>
      <w:pBdr/>
      <w:spacing/>
      <w:ind/>
    </w:pPr>
  </w:style>
  <w:style w:type="character" w:styleId="45">
    <w:name w:val="Footer Char"/>
    <w:basedOn w:val="777"/>
    <w:link w:val="806"/>
    <w:uiPriority w:val="99"/>
    <w:pPr>
      <w:pBdr/>
      <w:spacing/>
      <w:ind/>
    </w:pPr>
  </w:style>
  <w:style w:type="paragraph" w:styleId="46">
    <w:name w:val="Caption"/>
    <w:basedOn w:val="774"/>
    <w:next w:val="774"/>
    <w:uiPriority w:val="35"/>
    <w:semiHidden/>
    <w:unhideWhenUsed/>
    <w:qFormat/>
    <w:pPr>
      <w:pBdr/>
      <w:spacing w:line="276" w:lineRule="auto"/>
      <w:ind/>
    </w:pPr>
    <w:rPr>
      <w:b/>
      <w:bCs/>
      <w:color w:val="4f81bd" w:themeColor="accent1"/>
      <w:sz w:val="18"/>
      <w:szCs w:val="18"/>
    </w:rPr>
  </w:style>
  <w:style w:type="character" w:styleId="47">
    <w:name w:val="Caption Char"/>
    <w:basedOn w:val="46"/>
    <w:link w:val="806"/>
    <w:uiPriority w:val="99"/>
    <w:pPr>
      <w:pBdr/>
      <w:spacing/>
      <w:ind/>
    </w:pPr>
  </w:style>
  <w:style w:type="table" w:styleId="48">
    <w:name w:val="Table Grid"/>
    <w:basedOn w:val="77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77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7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7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7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7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7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7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7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7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7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7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7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7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7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7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7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7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7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7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7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7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7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7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7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7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7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7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7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7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7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7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7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7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7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7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7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7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7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7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7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7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7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7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7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7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7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7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7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7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7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7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7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7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7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7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7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7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7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7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7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7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7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7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7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7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7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7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7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7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7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7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7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7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7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7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7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7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7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7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7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7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7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7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7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7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7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7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48">
    <w:name w:val="List Table 7 Colorful - Accent 2"/>
    <w:basedOn w:val="77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49">
    <w:name w:val="List Table 7 Colorful - Accent 3"/>
    <w:basedOn w:val="77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50">
    <w:name w:val="List Table 7 Colorful - Accent 4"/>
    <w:basedOn w:val="77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51">
    <w:name w:val="List Table 7 Colorful - Accent 5"/>
    <w:basedOn w:val="77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52">
    <w:name w:val="List Table 7 Colorful - Accent 6"/>
    <w:basedOn w:val="77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53">
    <w:name w:val="Lined - Accent"/>
    <w:basedOn w:val="7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7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7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7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7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7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7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7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7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7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7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7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7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7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7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7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774"/>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77"/>
    <w:uiPriority w:val="99"/>
    <w:unhideWhenUsed/>
    <w:pPr>
      <w:pBdr/>
      <w:spacing/>
      <w:ind/>
    </w:pPr>
    <w:rPr>
      <w:vertAlign w:val="superscript"/>
    </w:rPr>
  </w:style>
  <w:style w:type="paragraph" w:styleId="178">
    <w:name w:val="endnote text"/>
    <w:basedOn w:val="774"/>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77"/>
    <w:uiPriority w:val="99"/>
    <w:semiHidden/>
    <w:unhideWhenUsed/>
    <w:pPr>
      <w:pBdr/>
      <w:spacing/>
      <w:ind/>
    </w:pPr>
    <w:rPr>
      <w:vertAlign w:val="superscript"/>
    </w:rPr>
  </w:style>
  <w:style w:type="paragraph" w:styleId="181">
    <w:name w:val="toc 1"/>
    <w:basedOn w:val="774"/>
    <w:next w:val="774"/>
    <w:uiPriority w:val="39"/>
    <w:unhideWhenUsed/>
    <w:pPr>
      <w:pBdr/>
      <w:spacing w:after="57"/>
      <w:ind w:right="0" w:firstLine="0" w:left="0"/>
    </w:pPr>
  </w:style>
  <w:style w:type="paragraph" w:styleId="182">
    <w:name w:val="toc 2"/>
    <w:basedOn w:val="774"/>
    <w:next w:val="774"/>
    <w:uiPriority w:val="39"/>
    <w:unhideWhenUsed/>
    <w:pPr>
      <w:pBdr/>
      <w:spacing w:after="57"/>
      <w:ind w:right="0" w:firstLine="0" w:left="283"/>
    </w:pPr>
  </w:style>
  <w:style w:type="paragraph" w:styleId="183">
    <w:name w:val="toc 3"/>
    <w:basedOn w:val="774"/>
    <w:next w:val="774"/>
    <w:uiPriority w:val="39"/>
    <w:unhideWhenUsed/>
    <w:pPr>
      <w:pBdr/>
      <w:spacing w:after="57"/>
      <w:ind w:right="0" w:firstLine="0" w:left="567"/>
    </w:pPr>
  </w:style>
  <w:style w:type="paragraph" w:styleId="184">
    <w:name w:val="toc 4"/>
    <w:basedOn w:val="774"/>
    <w:next w:val="774"/>
    <w:uiPriority w:val="39"/>
    <w:unhideWhenUsed/>
    <w:pPr>
      <w:pBdr/>
      <w:spacing w:after="57"/>
      <w:ind w:right="0" w:firstLine="0" w:left="850"/>
    </w:pPr>
  </w:style>
  <w:style w:type="paragraph" w:styleId="185">
    <w:name w:val="toc 5"/>
    <w:basedOn w:val="774"/>
    <w:next w:val="774"/>
    <w:uiPriority w:val="39"/>
    <w:unhideWhenUsed/>
    <w:pPr>
      <w:pBdr/>
      <w:spacing w:after="57"/>
      <w:ind w:right="0" w:firstLine="0" w:left="1134"/>
    </w:pPr>
  </w:style>
  <w:style w:type="paragraph" w:styleId="186">
    <w:name w:val="toc 6"/>
    <w:basedOn w:val="774"/>
    <w:next w:val="774"/>
    <w:uiPriority w:val="39"/>
    <w:unhideWhenUsed/>
    <w:pPr>
      <w:pBdr/>
      <w:spacing w:after="57"/>
      <w:ind w:right="0" w:firstLine="0" w:left="1417"/>
    </w:pPr>
  </w:style>
  <w:style w:type="paragraph" w:styleId="187">
    <w:name w:val="toc 7"/>
    <w:basedOn w:val="774"/>
    <w:next w:val="774"/>
    <w:uiPriority w:val="39"/>
    <w:unhideWhenUsed/>
    <w:pPr>
      <w:pBdr/>
      <w:spacing w:after="57"/>
      <w:ind w:right="0" w:firstLine="0" w:left="1701"/>
    </w:pPr>
  </w:style>
  <w:style w:type="paragraph" w:styleId="188">
    <w:name w:val="toc 8"/>
    <w:basedOn w:val="774"/>
    <w:next w:val="774"/>
    <w:uiPriority w:val="39"/>
    <w:unhideWhenUsed/>
    <w:pPr>
      <w:pBdr/>
      <w:spacing w:after="57"/>
      <w:ind w:right="0" w:firstLine="0" w:left="1984"/>
    </w:pPr>
  </w:style>
  <w:style w:type="paragraph" w:styleId="189">
    <w:name w:val="toc 9"/>
    <w:basedOn w:val="774"/>
    <w:next w:val="774"/>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74"/>
    <w:next w:val="774"/>
    <w:uiPriority w:val="99"/>
    <w:unhideWhenUsed/>
    <w:pPr>
      <w:pBdr/>
      <w:spacing w:after="0" w:afterAutospacing="0"/>
      <w:ind/>
    </w:pPr>
  </w:style>
  <w:style w:type="paragraph" w:styleId="774" w:default="1">
    <w:name w:val="Normal"/>
    <w:qFormat/>
    <w:pPr>
      <w:widowControl w:val="false"/>
      <w:pBdr/>
      <w:spacing/>
      <w:ind/>
    </w:pPr>
    <w:rPr>
      <w:sz w:val="24"/>
      <w:szCs w:val="24"/>
    </w:rPr>
  </w:style>
  <w:style w:type="paragraph" w:styleId="775">
    <w:name w:val="Heading 1"/>
    <w:basedOn w:val="774"/>
    <w:next w:val="774"/>
    <w:link w:val="780"/>
    <w:uiPriority w:val="99"/>
    <w:qFormat/>
    <w:pPr>
      <w:keepNext w:val="true"/>
      <w:widowControl w:val="true"/>
      <w:pBdr/>
      <w:spacing w:after="60" w:before="240"/>
      <w:ind/>
      <w:outlineLvl w:val="0"/>
    </w:pPr>
    <w:rPr>
      <w:rFonts w:ascii="Arial" w:hAnsi="Arial"/>
      <w:b/>
      <w:sz w:val="28"/>
      <w:szCs w:val="20"/>
    </w:rPr>
  </w:style>
  <w:style w:type="paragraph" w:styleId="776">
    <w:name w:val="Heading 2"/>
    <w:basedOn w:val="774"/>
    <w:next w:val="774"/>
    <w:link w:val="781"/>
    <w:uiPriority w:val="99"/>
    <w:qFormat/>
    <w:pPr>
      <w:keepNext w:val="true"/>
      <w:widowControl w:val="true"/>
      <w:pBdr/>
      <w:spacing w:after="60" w:before="240"/>
      <w:ind/>
      <w:outlineLvl w:val="1"/>
    </w:pPr>
    <w:rPr>
      <w:rFonts w:ascii="Arial" w:hAnsi="Arial"/>
      <w:b/>
      <w:i/>
      <w:szCs w:val="20"/>
    </w:rPr>
  </w:style>
  <w:style w:type="character" w:styleId="777" w:default="1">
    <w:name w:val="Default Paragraph Font"/>
    <w:uiPriority w:val="1"/>
    <w:semiHidden/>
    <w:unhideWhenUsed/>
    <w:pPr>
      <w:pBdr/>
      <w:spacing/>
      <w:ind/>
    </w:pPr>
  </w:style>
  <w:style w:type="table" w:styleId="77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9" w:default="1">
    <w:name w:val="No List"/>
    <w:uiPriority w:val="99"/>
    <w:semiHidden/>
    <w:unhideWhenUsed/>
    <w:pPr>
      <w:pBdr/>
      <w:spacing/>
      <w:ind/>
    </w:pPr>
  </w:style>
  <w:style w:type="character" w:styleId="780" w:customStyle="1">
    <w:name w:val="Titre 1 Car"/>
    <w:basedOn w:val="777"/>
    <w:link w:val="775"/>
    <w:uiPriority w:val="99"/>
    <w:pPr>
      <w:pBdr/>
      <w:spacing/>
      <w:ind/>
    </w:pPr>
    <w:rPr>
      <w:rFonts w:ascii="Arial" w:hAnsi="Arial" w:cs="Times New Roman"/>
      <w:b/>
      <w:sz w:val="20"/>
      <w:szCs w:val="20"/>
      <w:lang w:val="de-CH"/>
    </w:rPr>
  </w:style>
  <w:style w:type="character" w:styleId="781" w:customStyle="1">
    <w:name w:val="Titre 2 Car"/>
    <w:basedOn w:val="777"/>
    <w:link w:val="776"/>
    <w:uiPriority w:val="99"/>
    <w:pPr>
      <w:pBdr/>
      <w:spacing/>
      <w:ind/>
    </w:pPr>
    <w:rPr>
      <w:rFonts w:ascii="Arial" w:hAnsi="Arial" w:cs="Times New Roman"/>
      <w:b/>
      <w:i/>
      <w:sz w:val="20"/>
      <w:szCs w:val="20"/>
      <w:lang w:val="de-CH"/>
    </w:rPr>
  </w:style>
  <w:style w:type="paragraph" w:styleId="782" w:customStyle="1">
    <w:name w:val="Style1"/>
    <w:basedOn w:val="774"/>
    <w:uiPriority w:val="99"/>
    <w:pPr>
      <w:pBdr/>
      <w:spacing/>
      <w:ind/>
    </w:pPr>
  </w:style>
  <w:style w:type="paragraph" w:styleId="783" w:customStyle="1">
    <w:name w:val="Style2"/>
    <w:basedOn w:val="774"/>
    <w:uiPriority w:val="99"/>
    <w:pPr>
      <w:pBdr/>
      <w:spacing/>
      <w:ind/>
    </w:pPr>
  </w:style>
  <w:style w:type="paragraph" w:styleId="784" w:customStyle="1">
    <w:name w:val="Style3"/>
    <w:basedOn w:val="774"/>
    <w:uiPriority w:val="99"/>
    <w:pPr>
      <w:pBdr/>
      <w:spacing/>
      <w:ind/>
    </w:pPr>
  </w:style>
  <w:style w:type="paragraph" w:styleId="785" w:customStyle="1">
    <w:name w:val="Style4"/>
    <w:basedOn w:val="774"/>
    <w:uiPriority w:val="99"/>
    <w:pPr>
      <w:pBdr/>
      <w:spacing/>
      <w:ind/>
    </w:pPr>
  </w:style>
  <w:style w:type="paragraph" w:styleId="786" w:customStyle="1">
    <w:name w:val="Style5"/>
    <w:basedOn w:val="774"/>
    <w:uiPriority w:val="99"/>
    <w:pPr>
      <w:pBdr/>
      <w:spacing/>
      <w:ind/>
    </w:pPr>
  </w:style>
  <w:style w:type="paragraph" w:styleId="787" w:customStyle="1">
    <w:name w:val="Style6"/>
    <w:basedOn w:val="774"/>
    <w:uiPriority w:val="99"/>
    <w:pPr>
      <w:pBdr/>
      <w:spacing/>
      <w:ind/>
    </w:pPr>
  </w:style>
  <w:style w:type="paragraph" w:styleId="788" w:customStyle="1">
    <w:name w:val="Style7"/>
    <w:basedOn w:val="774"/>
    <w:uiPriority w:val="99"/>
    <w:pPr>
      <w:pBdr/>
      <w:spacing w:line="281" w:lineRule="exact"/>
      <w:ind/>
    </w:pPr>
  </w:style>
  <w:style w:type="paragraph" w:styleId="789" w:customStyle="1">
    <w:name w:val="Style8"/>
    <w:basedOn w:val="774"/>
    <w:uiPriority w:val="99"/>
    <w:pPr>
      <w:pBdr/>
      <w:spacing/>
      <w:ind/>
    </w:pPr>
  </w:style>
  <w:style w:type="paragraph" w:styleId="790" w:customStyle="1">
    <w:name w:val="Style9"/>
    <w:basedOn w:val="774"/>
    <w:uiPriority w:val="99"/>
    <w:pPr>
      <w:pBdr/>
      <w:spacing/>
      <w:ind/>
      <w:jc w:val="both"/>
    </w:pPr>
  </w:style>
  <w:style w:type="paragraph" w:styleId="791" w:customStyle="1">
    <w:name w:val="Style10"/>
    <w:basedOn w:val="774"/>
    <w:uiPriority w:val="99"/>
    <w:pPr>
      <w:pBdr/>
      <w:spacing/>
      <w:ind/>
    </w:pPr>
  </w:style>
  <w:style w:type="paragraph" w:styleId="792" w:customStyle="1">
    <w:name w:val="Style11"/>
    <w:basedOn w:val="774"/>
    <w:uiPriority w:val="99"/>
    <w:pPr>
      <w:pBdr/>
      <w:spacing/>
      <w:ind/>
    </w:pPr>
  </w:style>
  <w:style w:type="paragraph" w:styleId="793" w:customStyle="1">
    <w:name w:val="Style12"/>
    <w:basedOn w:val="774"/>
    <w:uiPriority w:val="99"/>
    <w:pPr>
      <w:pBdr/>
      <w:spacing/>
      <w:ind/>
    </w:pPr>
  </w:style>
  <w:style w:type="paragraph" w:styleId="794" w:customStyle="1">
    <w:name w:val="Style13"/>
    <w:basedOn w:val="774"/>
    <w:uiPriority w:val="99"/>
    <w:pPr>
      <w:pBdr/>
      <w:spacing w:line="281" w:lineRule="exact"/>
      <w:ind w:hanging="706"/>
    </w:pPr>
  </w:style>
  <w:style w:type="paragraph" w:styleId="795" w:customStyle="1">
    <w:name w:val="Style14"/>
    <w:basedOn w:val="774"/>
    <w:uiPriority w:val="99"/>
    <w:pPr>
      <w:pBdr/>
      <w:spacing w:line="274" w:lineRule="exact"/>
      <w:ind w:hanging="734"/>
    </w:pPr>
  </w:style>
  <w:style w:type="paragraph" w:styleId="796" w:customStyle="1">
    <w:name w:val="Style15"/>
    <w:basedOn w:val="774"/>
    <w:uiPriority w:val="99"/>
    <w:pPr>
      <w:pBdr/>
      <w:spacing/>
      <w:ind/>
    </w:pPr>
  </w:style>
  <w:style w:type="character" w:styleId="797" w:customStyle="1">
    <w:name w:val="Font Style17"/>
    <w:basedOn w:val="777"/>
    <w:uiPriority w:val="99"/>
    <w:pPr>
      <w:pBdr/>
      <w:spacing/>
      <w:ind/>
    </w:pPr>
    <w:rPr>
      <w:rFonts w:ascii="Times New Roman" w:hAnsi="Times New Roman" w:cs="Times New Roman"/>
      <w:b/>
      <w:bCs/>
      <w:color w:val="000000"/>
      <w:sz w:val="18"/>
      <w:szCs w:val="18"/>
    </w:rPr>
  </w:style>
  <w:style w:type="character" w:styleId="798" w:customStyle="1">
    <w:name w:val="Font Style18"/>
    <w:basedOn w:val="777"/>
    <w:uiPriority w:val="99"/>
    <w:pPr>
      <w:pBdr/>
      <w:spacing/>
      <w:ind/>
    </w:pPr>
    <w:rPr>
      <w:rFonts w:ascii="Times New Roman" w:hAnsi="Times New Roman" w:cs="Times New Roman"/>
      <w:b/>
      <w:bCs/>
      <w:color w:val="000000"/>
      <w:sz w:val="30"/>
      <w:szCs w:val="30"/>
    </w:rPr>
  </w:style>
  <w:style w:type="character" w:styleId="799" w:customStyle="1">
    <w:name w:val="Font Style19"/>
    <w:basedOn w:val="777"/>
    <w:uiPriority w:val="99"/>
    <w:pPr>
      <w:pBdr/>
      <w:spacing/>
      <w:ind/>
    </w:pPr>
    <w:rPr>
      <w:rFonts w:ascii="Times New Roman" w:hAnsi="Times New Roman" w:cs="Times New Roman"/>
      <w:color w:val="000000"/>
      <w:sz w:val="30"/>
      <w:szCs w:val="30"/>
    </w:rPr>
  </w:style>
  <w:style w:type="character" w:styleId="800" w:customStyle="1">
    <w:name w:val="Font Style20"/>
    <w:basedOn w:val="777"/>
    <w:uiPriority w:val="99"/>
    <w:pPr>
      <w:pBdr/>
      <w:spacing/>
      <w:ind/>
    </w:pPr>
    <w:rPr>
      <w:rFonts w:ascii="Times New Roman" w:hAnsi="Times New Roman" w:cs="Times New Roman"/>
      <w:b/>
      <w:bCs/>
      <w:color w:val="000000"/>
      <w:sz w:val="8"/>
      <w:szCs w:val="8"/>
    </w:rPr>
  </w:style>
  <w:style w:type="character" w:styleId="801" w:customStyle="1">
    <w:name w:val="Font Style21"/>
    <w:basedOn w:val="777"/>
    <w:uiPriority w:val="99"/>
    <w:pPr>
      <w:pBdr/>
      <w:spacing/>
      <w:ind/>
    </w:pPr>
    <w:rPr>
      <w:rFonts w:ascii="Times New Roman" w:hAnsi="Times New Roman" w:cs="Times New Roman"/>
      <w:color w:val="000000"/>
      <w:sz w:val="22"/>
      <w:szCs w:val="22"/>
    </w:rPr>
  </w:style>
  <w:style w:type="character" w:styleId="802" w:customStyle="1">
    <w:name w:val="Font Style22"/>
    <w:basedOn w:val="777"/>
    <w:uiPriority w:val="99"/>
    <w:pPr>
      <w:pBdr/>
      <w:spacing/>
      <w:ind/>
    </w:pPr>
    <w:rPr>
      <w:rFonts w:ascii="Times New Roman" w:hAnsi="Times New Roman" w:cs="Times New Roman"/>
      <w:b/>
      <w:bCs/>
      <w:color w:val="000000"/>
      <w:spacing w:val="10"/>
      <w:sz w:val="24"/>
      <w:szCs w:val="24"/>
    </w:rPr>
  </w:style>
  <w:style w:type="character" w:styleId="803" w:customStyle="1">
    <w:name w:val="Font Style23"/>
    <w:basedOn w:val="777"/>
    <w:uiPriority w:val="99"/>
    <w:pPr>
      <w:pBdr/>
      <w:spacing/>
      <w:ind/>
    </w:pPr>
    <w:rPr>
      <w:rFonts w:ascii="Times New Roman" w:hAnsi="Times New Roman" w:cs="Times New Roman"/>
      <w:b/>
      <w:bCs/>
      <w:color w:val="000000"/>
      <w:sz w:val="22"/>
      <w:szCs w:val="22"/>
    </w:rPr>
  </w:style>
  <w:style w:type="character" w:styleId="804" w:customStyle="1">
    <w:name w:val="Font Style24"/>
    <w:basedOn w:val="777"/>
    <w:uiPriority w:val="99"/>
    <w:pPr>
      <w:pBdr/>
      <w:spacing/>
      <w:ind/>
    </w:pPr>
    <w:rPr>
      <w:rFonts w:ascii="Times New Roman" w:hAnsi="Times New Roman" w:cs="Times New Roman"/>
      <w:color w:val="000000"/>
      <w:spacing w:val="-10"/>
      <w:sz w:val="22"/>
      <w:szCs w:val="22"/>
    </w:rPr>
  </w:style>
  <w:style w:type="character" w:styleId="805" w:customStyle="1">
    <w:name w:val="Font Style25"/>
    <w:basedOn w:val="777"/>
    <w:uiPriority w:val="99"/>
    <w:pPr>
      <w:pBdr/>
      <w:spacing/>
      <w:ind/>
    </w:pPr>
    <w:rPr>
      <w:rFonts w:ascii="Times New Roman" w:hAnsi="Times New Roman" w:cs="Times New Roman"/>
      <w:color w:val="000000"/>
      <w:sz w:val="24"/>
      <w:szCs w:val="24"/>
    </w:rPr>
  </w:style>
  <w:style w:type="paragraph" w:styleId="806">
    <w:name w:val="Footer"/>
    <w:basedOn w:val="774"/>
    <w:link w:val="807"/>
    <w:uiPriority w:val="99"/>
    <w:pPr>
      <w:pBdr/>
      <w:tabs>
        <w:tab w:val="center" w:leader="none" w:pos="4536"/>
        <w:tab w:val="right" w:leader="none" w:pos="9072"/>
      </w:tabs>
      <w:spacing/>
      <w:ind/>
    </w:pPr>
  </w:style>
  <w:style w:type="character" w:styleId="807" w:customStyle="1">
    <w:name w:val="Pied de page Car"/>
    <w:basedOn w:val="777"/>
    <w:link w:val="806"/>
    <w:uiPriority w:val="99"/>
    <w:pPr>
      <w:pBdr/>
      <w:spacing/>
      <w:ind/>
    </w:pPr>
    <w:rPr>
      <w:rFonts w:cs="Times New Roman"/>
      <w:sz w:val="24"/>
      <w:szCs w:val="24"/>
    </w:rPr>
  </w:style>
  <w:style w:type="character" w:styleId="808">
    <w:name w:val="page number"/>
    <w:basedOn w:val="777"/>
    <w:uiPriority w:val="99"/>
    <w:pPr>
      <w:pBdr/>
      <w:spacing/>
      <w:ind/>
    </w:pPr>
    <w:rPr>
      <w:rFonts w:cs="Times New Roman"/>
    </w:rPr>
  </w:style>
  <w:style w:type="paragraph" w:styleId="809">
    <w:name w:val="Balloon Text"/>
    <w:basedOn w:val="774"/>
    <w:link w:val="810"/>
    <w:uiPriority w:val="99"/>
    <w:semiHidden/>
    <w:pPr>
      <w:pBdr/>
      <w:spacing/>
      <w:ind/>
    </w:pPr>
    <w:rPr>
      <w:rFonts w:ascii="Tahoma" w:hAnsi="Tahoma" w:cs="Tahoma"/>
      <w:sz w:val="16"/>
      <w:szCs w:val="16"/>
    </w:rPr>
  </w:style>
  <w:style w:type="character" w:styleId="810" w:customStyle="1">
    <w:name w:val="Texte de bulles Car"/>
    <w:basedOn w:val="777"/>
    <w:link w:val="809"/>
    <w:uiPriority w:val="99"/>
    <w:semiHidden/>
    <w:pPr>
      <w:pBdr/>
      <w:spacing/>
      <w:ind/>
    </w:pPr>
    <w:rPr>
      <w:rFonts w:ascii="Tahoma" w:hAnsi="Tahoma" w:cs="Tahoma"/>
      <w:sz w:val="16"/>
      <w:szCs w:val="16"/>
    </w:rPr>
  </w:style>
  <w:style w:type="character" w:styleId="811">
    <w:name w:val="annotation reference"/>
    <w:basedOn w:val="777"/>
    <w:uiPriority w:val="99"/>
    <w:semiHidden/>
    <w:pPr>
      <w:pBdr/>
      <w:spacing/>
      <w:ind/>
    </w:pPr>
    <w:rPr>
      <w:rFonts w:cs="Times New Roman"/>
      <w:sz w:val="16"/>
      <w:szCs w:val="16"/>
    </w:rPr>
  </w:style>
  <w:style w:type="paragraph" w:styleId="812">
    <w:name w:val="annotation text"/>
    <w:basedOn w:val="774"/>
    <w:link w:val="813"/>
    <w:uiPriority w:val="99"/>
    <w:semiHidden/>
    <w:pPr>
      <w:pBdr/>
      <w:spacing/>
      <w:ind/>
    </w:pPr>
    <w:rPr>
      <w:sz w:val="20"/>
      <w:szCs w:val="20"/>
    </w:rPr>
  </w:style>
  <w:style w:type="character" w:styleId="813" w:customStyle="1">
    <w:name w:val="Commentaire Car"/>
    <w:basedOn w:val="777"/>
    <w:link w:val="812"/>
    <w:uiPriority w:val="99"/>
    <w:semiHidden/>
    <w:pPr>
      <w:pBdr/>
      <w:spacing/>
      <w:ind/>
    </w:pPr>
    <w:rPr>
      <w:rFonts w:cs="Times New Roman"/>
      <w:sz w:val="20"/>
      <w:szCs w:val="20"/>
    </w:rPr>
  </w:style>
  <w:style w:type="paragraph" w:styleId="814">
    <w:name w:val="annotation subject"/>
    <w:basedOn w:val="812"/>
    <w:next w:val="812"/>
    <w:link w:val="815"/>
    <w:uiPriority w:val="99"/>
    <w:semiHidden/>
    <w:pPr>
      <w:pBdr/>
      <w:spacing/>
      <w:ind/>
    </w:pPr>
    <w:rPr>
      <w:b/>
      <w:bCs/>
    </w:rPr>
  </w:style>
  <w:style w:type="character" w:styleId="815" w:customStyle="1">
    <w:name w:val="Objet du commentaire Car"/>
    <w:basedOn w:val="813"/>
    <w:link w:val="814"/>
    <w:uiPriority w:val="99"/>
    <w:semiHidden/>
    <w:pPr>
      <w:pBdr/>
      <w:spacing/>
      <w:ind/>
    </w:pPr>
    <w:rPr>
      <w:rFonts w:cs="Times New Roman"/>
      <w:b/>
      <w:bCs/>
      <w:sz w:val="20"/>
      <w:szCs w:val="20"/>
    </w:rPr>
  </w:style>
  <w:style w:type="paragraph" w:styleId="816">
    <w:name w:val="Header"/>
    <w:basedOn w:val="774"/>
    <w:link w:val="817"/>
    <w:uiPriority w:val="99"/>
    <w:pPr>
      <w:pBdr/>
      <w:tabs>
        <w:tab w:val="center" w:leader="none" w:pos="4536"/>
        <w:tab w:val="right" w:leader="none" w:pos="9072"/>
      </w:tabs>
      <w:spacing/>
      <w:ind/>
    </w:pPr>
  </w:style>
  <w:style w:type="character" w:styleId="817" w:customStyle="1">
    <w:name w:val="En-tête Car"/>
    <w:basedOn w:val="777"/>
    <w:link w:val="816"/>
    <w:uiPriority w:val="99"/>
    <w:pPr>
      <w:pBdr/>
      <w:spacing/>
      <w:ind/>
    </w:pPr>
    <w:rPr>
      <w:rFonts w:cs="Times New Roman"/>
      <w:sz w:val="24"/>
      <w:szCs w:val="24"/>
    </w:rPr>
  </w:style>
  <w:style w:type="paragraph" w:styleId="818">
    <w:name w:val="Body Text"/>
    <w:basedOn w:val="774"/>
    <w:link w:val="819"/>
    <w:uiPriority w:val="99"/>
    <w:pPr>
      <w:widowControl w:val="true"/>
      <w:pBdr/>
      <w:spacing/>
      <w:ind/>
      <w:jc w:val="both"/>
    </w:pPr>
    <w:rPr>
      <w:rFonts w:ascii="Arial" w:hAnsi="Arial"/>
      <w:sz w:val="22"/>
      <w:szCs w:val="20"/>
    </w:rPr>
  </w:style>
  <w:style w:type="character" w:styleId="819" w:customStyle="1">
    <w:name w:val="Corps de texte Car"/>
    <w:basedOn w:val="777"/>
    <w:link w:val="818"/>
    <w:uiPriority w:val="99"/>
    <w:pPr>
      <w:pBdr/>
      <w:spacing/>
      <w:ind/>
    </w:pPr>
    <w:rPr>
      <w:rFonts w:ascii="Arial" w:hAnsi="Arial" w:cs="Times New Roman"/>
      <w:sz w:val="20"/>
      <w:szCs w:val="20"/>
      <w:lang w:val="de-CH"/>
    </w:rPr>
  </w:style>
  <w:style w:type="character" w:styleId="820">
    <w:name w:val="Hyperlink"/>
    <w:basedOn w:val="777"/>
    <w:uiPriority w:val="99"/>
    <w:pPr>
      <w:pBdr/>
      <w:spacing/>
      <w:ind/>
    </w:pPr>
    <w:rPr>
      <w:rFonts w:cs="Times New Roman"/>
      <w:color w:val="0000ff"/>
      <w:u w:val="single"/>
    </w:rPr>
  </w:style>
  <w:style w:type="paragraph" w:styleId="821" w:customStyle="1">
    <w:name w:val="Liste Lemma 2"/>
    <w:basedOn w:val="823"/>
    <w:uiPriority w:val="99"/>
    <w:pPr>
      <w:pBdr/>
      <w:tabs>
        <w:tab w:val="clear" w:leader="none" w:pos="709"/>
        <w:tab w:val="left" w:leader="none" w:pos="1418"/>
      </w:tabs>
      <w:spacing/>
      <w:ind w:left="1418"/>
    </w:pPr>
  </w:style>
  <w:style w:type="paragraph" w:styleId="822" w:customStyle="1">
    <w:name w:val="Nummerierung 123 1"/>
    <w:basedOn w:val="774"/>
    <w:uiPriority w:val="99"/>
    <w:pPr>
      <w:widowControl w:val="true"/>
      <w:numPr>
        <w:ilvl w:val="0"/>
        <w:numId w:val="22"/>
      </w:numPr>
      <w:pBdr/>
      <w:spacing w:after="320" w:line="320" w:lineRule="exact"/>
      <w:ind/>
    </w:pPr>
    <w:rPr>
      <w:szCs w:val="22"/>
    </w:rPr>
  </w:style>
  <w:style w:type="paragraph" w:styleId="823" w:customStyle="1">
    <w:name w:val="Liste Lemma 1"/>
    <w:basedOn w:val="774"/>
    <w:uiPriority w:val="99"/>
    <w:pPr>
      <w:widowControl w:val="true"/>
      <w:numPr>
        <w:ilvl w:val="0"/>
        <w:numId w:val="23"/>
      </w:numPr>
      <w:pBdr/>
      <w:spacing w:after="320" w:line="320" w:lineRule="exact"/>
      <w:ind/>
    </w:pPr>
    <w:rPr>
      <w:szCs w:val="22"/>
    </w:rPr>
  </w:style>
  <w:style w:type="paragraph" w:styleId="824" w:customStyle="1">
    <w:name w:val="Nummerierung 123 2"/>
    <w:basedOn w:val="822"/>
    <w:uiPriority w:val="99"/>
    <w:pPr>
      <w:numPr>
        <w:ilvl w:val="1"/>
      </w:numPr>
      <w:pBdr/>
      <w:spacing/>
      <w:ind/>
    </w:pPr>
  </w:style>
  <w:style w:type="paragraph" w:styleId="825" w:customStyle="1">
    <w:name w:val="Nummerierung 123 3"/>
    <w:basedOn w:val="822"/>
    <w:uiPriority w:val="99"/>
    <w:pPr>
      <w:numPr>
        <w:ilvl w:val="2"/>
      </w:numPr>
      <w:pBdr/>
      <w:spacing/>
      <w:ind/>
    </w:pPr>
  </w:style>
  <w:style w:type="character" w:styleId="826">
    <w:name w:val="FollowedHyperlink"/>
    <w:basedOn w:val="777"/>
    <w:uiPriority w:val="99"/>
    <w:semiHidden/>
    <w:unhideWhenUsed/>
    <w:pPr>
      <w:pBdr/>
      <w:spacing/>
      <w:ind/>
    </w:pPr>
    <w:rPr>
      <w:color w:val="800080"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hyperlink" Target="http://www.economiesuisse.ch/sites/default/files/publications/economiesuisse_swisscode_d_web.pdf" TargetMode="External"/><Relationship Id="rId17" Type="http://schemas.openxmlformats.org/officeDocument/2006/relationships/hyperlink" Target="https://www.six-exchange-regulation.com/dam/downloads/regulation/admission-manual/directives/06_16-DCG_de.pdf"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wmf"/></Relationships>
</file>

<file path=word/_rels/header3.xml.rels><?xml version="1.0" encoding="UTF-8" standalone="yes"?><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BB1D2B2983F4B8A7418F19CDD44FB" ma:contentTypeVersion="11" ma:contentTypeDescription="Create a new document." ma:contentTypeScope="" ma:versionID="c28c032372be5054cf9e084ca57924d5">
  <xsd:schema xmlns:xsd="http://www.w3.org/2001/XMLSchema" xmlns:xs="http://www.w3.org/2001/XMLSchema" xmlns:p="http://schemas.microsoft.com/office/2006/metadata/properties" xmlns:ns2="c1a978eb-e217-4260-b3c0-72f6b0947d42" xmlns:ns3="d7be412b-1b8e-4526-9144-56b7d21b601a" targetNamespace="http://schemas.microsoft.com/office/2006/metadata/properties" ma:root="true" ma:fieldsID="6b869208f549ca00e0d155a757e29729" ns2:_="" ns3:_="">
    <xsd:import namespace="c1a978eb-e217-4260-b3c0-72f6b0947d42"/>
    <xsd:import namespace="d7be412b-1b8e-4526-9144-56b7d21b60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978eb-e217-4260-b3c0-72f6b0947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46e7db-a292-4863-a434-38aa85db71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e412b-1b8e-4526-9144-56b7d21b60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138a89-cd3e-4a76-a4c2-80e86d684d5e}" ma:internalName="TaxCatchAll" ma:showField="CatchAllData" ma:web="d7be412b-1b8e-4526-9144-56b7d21b6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be412b-1b8e-4526-9144-56b7d21b601a" xsi:nil="true"/>
    <lcf76f155ced4ddcb4097134ff3c332f xmlns="c1a978eb-e217-4260-b3c0-72f6b0947d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869C0-6200-49FD-B595-063391CC2C5F}"/>
</file>

<file path=customXml/itemProps2.xml><?xml version="1.0" encoding="utf-8"?>
<ds:datastoreItem xmlns:ds="http://schemas.openxmlformats.org/officeDocument/2006/customXml" ds:itemID="{F8BB9BC3-63B1-4063-BCDD-76F4C80F051F}"/>
</file>

<file path=customXml/itemProps3.xml><?xml version="1.0" encoding="utf-8"?>
<ds:datastoreItem xmlns:ds="http://schemas.openxmlformats.org/officeDocument/2006/customXml" ds:itemID="{31E9624A-38B6-422F-80E9-5921484FE42D}"/>
</file>

<file path=docProps/app.xml><?xml version="1.0" encoding="utf-8"?>
<Properties xmlns="http://schemas.openxmlformats.org/officeDocument/2006/extended-properties" xmlns:vt="http://schemas.openxmlformats.org/officeDocument/2006/docPropsVTypes">
  <Application>onlyoffice/8.0.1.31</Application>
  <Company>MGB</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Entwurfs</dc:title>
  <dc:creator>Cornelia Schmid</dc:creator>
  <cp:lastModifiedBy>Aamir Rind</cp:lastModifiedBy>
  <cp:revision>3</cp:revision>
  <dcterms:created xsi:type="dcterms:W3CDTF">2016-12-09T07:13:00Z</dcterms:created>
  <dcterms:modified xsi:type="dcterms:W3CDTF">2024-03-18T12:28:37Z</dcterms:modified>
  <cp:category>confidentiel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010021{"F":2,"I":"4C10-8C4F-E6DA-2345"}</vt:lpwstr>
  </property>
  <property fmtid="{D5CDD505-2E9C-101B-9397-08002B2CF9AE}" pid="3" name="ContentTypeId">
    <vt:lpwstr>0x01010029EBB1D2B2983F4B8A7418F19CDD44FB</vt:lpwstr>
  </property>
</Properties>
</file>